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1B826" w14:textId="2A523C31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F698B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10</w:t>
      </w:r>
      <w:r w:rsidR="007274C2">
        <w:rPr>
          <w:rFonts w:ascii="Arial" w:eastAsia="SimSun" w:hAnsi="Arial" w:cs="Times New Roman"/>
          <w:b/>
          <w:sz w:val="24"/>
          <w:szCs w:val="20"/>
        </w:rPr>
        <w:t>7</w:t>
      </w:r>
      <w:r w:rsidR="006A3C11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5637B2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AE2BA5" w:rsidRPr="005637B2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F77BCA" w:rsidRPr="005637B2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3</w:t>
      </w:r>
      <w:r w:rsidR="00751E15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08620</w:t>
      </w:r>
    </w:p>
    <w:bookmarkEnd w:id="0"/>
    <w:bookmarkEnd w:id="1"/>
    <w:p w14:paraId="4362E762" w14:textId="3C54190B" w:rsidR="00841BCD" w:rsidRDefault="007274C2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sz w:val="24"/>
          <w:szCs w:val="20"/>
        </w:rPr>
      </w:pPr>
      <w:r w:rsidRPr="007274C2">
        <w:rPr>
          <w:rFonts w:ascii="Arial" w:eastAsia="SimSun" w:hAnsi="Arial" w:cs="Times New Roman"/>
          <w:b/>
          <w:sz w:val="24"/>
          <w:szCs w:val="20"/>
        </w:rPr>
        <w:t>Incheon, Korea, May 22 – 26, 2023</w:t>
      </w:r>
    </w:p>
    <w:p w14:paraId="015183FB" w14:textId="77777777" w:rsidR="007274C2" w:rsidRPr="00EF698B" w:rsidRDefault="007274C2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4453811B" w14:textId="77777777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528CAEDE" w14:textId="719197A8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F81FFA">
        <w:rPr>
          <w:rFonts w:ascii="Arial" w:eastAsia="Calibri" w:hAnsi="Arial" w:cs="Arial"/>
          <w:b/>
          <w:bCs/>
          <w:sz w:val="24"/>
        </w:rPr>
        <w:t xml:space="preserve">Considerations on mobile IAB </w:t>
      </w:r>
      <w:r w:rsidR="000A1BB6">
        <w:rPr>
          <w:rFonts w:ascii="Arial" w:eastAsia="Calibri" w:hAnsi="Arial" w:cs="Arial"/>
          <w:b/>
          <w:bCs/>
          <w:sz w:val="24"/>
        </w:rPr>
        <w:t>coexistence</w:t>
      </w:r>
    </w:p>
    <w:p w14:paraId="7A1D4E1E" w14:textId="7D5F5948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</w:rPr>
      </w:pPr>
      <w:r w:rsidRPr="1E932B3B">
        <w:rPr>
          <w:rFonts w:ascii="Arial" w:eastAsia="MS Mincho" w:hAnsi="Arial" w:cs="Arial"/>
          <w:b/>
          <w:bCs/>
          <w:sz w:val="24"/>
          <w:szCs w:val="24"/>
        </w:rPr>
        <w:t>Agenda item:</w:t>
      </w:r>
      <w:r>
        <w:tab/>
      </w:r>
      <w:r w:rsidR="7E2E1739" w:rsidRPr="1E932B3B">
        <w:rPr>
          <w:rFonts w:ascii="Arial" w:eastAsia="MS Mincho" w:hAnsi="Arial" w:cs="Arial"/>
          <w:b/>
          <w:bCs/>
          <w:sz w:val="24"/>
          <w:szCs w:val="24"/>
        </w:rPr>
        <w:t>8</w:t>
      </w:r>
      <w:r w:rsidR="00F81FFA" w:rsidRPr="1E932B3B">
        <w:rPr>
          <w:rFonts w:ascii="Arial" w:eastAsia="MS Mincho" w:hAnsi="Arial" w:cs="Arial"/>
          <w:b/>
          <w:bCs/>
          <w:sz w:val="24"/>
          <w:szCs w:val="24"/>
        </w:rPr>
        <w:t>.34.</w:t>
      </w:r>
      <w:r w:rsidR="000A1BB6">
        <w:rPr>
          <w:rFonts w:ascii="Arial" w:eastAsia="MS Mincho" w:hAnsi="Arial" w:cs="Arial"/>
          <w:b/>
          <w:bCs/>
          <w:sz w:val="24"/>
          <w:szCs w:val="24"/>
        </w:rPr>
        <w:t>2</w:t>
      </w:r>
      <w:r w:rsidR="00286A54">
        <w:t xml:space="preserve"> </w:t>
      </w:r>
      <w:r w:rsidR="000A1BB6">
        <w:rPr>
          <w:rFonts w:ascii="Arial" w:eastAsia="MS Mincho" w:hAnsi="Arial" w:cs="Arial"/>
          <w:b/>
          <w:bCs/>
          <w:sz w:val="24"/>
          <w:szCs w:val="24"/>
        </w:rPr>
        <w:t>Co-existence study</w:t>
      </w:r>
      <w:r w:rsidR="00286A54">
        <w:tab/>
      </w:r>
      <w:r w:rsidR="00F81FFA" w:rsidRPr="1E932B3B">
        <w:rPr>
          <w:rFonts w:ascii="Arial" w:eastAsia="MS Mincho" w:hAnsi="Arial" w:cs="Arial"/>
          <w:b/>
          <w:bCs/>
          <w:sz w:val="24"/>
          <w:szCs w:val="24"/>
        </w:rPr>
        <w:t>[NR_mobile_IAB-Core]</w:t>
      </w:r>
    </w:p>
    <w:p w14:paraId="514ABC13" w14:textId="19361BFE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5637B2">
        <w:rPr>
          <w:rFonts w:ascii="Arial" w:eastAsia="Calibri" w:hAnsi="Arial" w:cs="Arial"/>
          <w:b/>
          <w:bCs/>
          <w:sz w:val="24"/>
        </w:rPr>
        <w:t>Approval</w:t>
      </w:r>
    </w:p>
    <w:p w14:paraId="3B1E0363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0974C8AE" w14:textId="77777777" w:rsidR="00841BCD" w:rsidRPr="00EF698B" w:rsidRDefault="00841BCD" w:rsidP="00A37002">
      <w:pPr>
        <w:pStyle w:val="RAN4H1"/>
        <w:rPr>
          <w:lang w:val="en-US"/>
        </w:rPr>
      </w:pPr>
      <w:bookmarkStart w:id="3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3"/>
    </w:p>
    <w:p w14:paraId="2D4461C9" w14:textId="5A5EB835" w:rsidR="00F81FFA" w:rsidRDefault="00F81FFA" w:rsidP="00F81FFA">
      <w:pPr>
        <w:rPr>
          <w:rFonts w:eastAsia="Times New Roman" w:cs="Times New Roman"/>
        </w:rPr>
      </w:pPr>
      <w:bookmarkStart w:id="4" w:name="_Hlk125455889"/>
      <w:r>
        <w:rPr>
          <w:rFonts w:eastAsia="Times New Roman" w:cs="Times New Roman"/>
        </w:rPr>
        <w:t>RAN4#106</w:t>
      </w:r>
      <w:r w:rsidR="00857830">
        <w:rPr>
          <w:rFonts w:eastAsia="Times New Roman" w:cs="Times New Roman"/>
        </w:rPr>
        <w:t>-bis</w:t>
      </w:r>
      <w:r>
        <w:rPr>
          <w:rFonts w:eastAsia="Times New Roman" w:cs="Times New Roman"/>
        </w:rPr>
        <w:t xml:space="preserve"> meeting </w:t>
      </w:r>
      <w:r w:rsidR="00857830">
        <w:rPr>
          <w:rFonts w:eastAsia="Times New Roman" w:cs="Times New Roman"/>
        </w:rPr>
        <w:t>continued</w:t>
      </w:r>
      <w:r>
        <w:rPr>
          <w:rFonts w:eastAsia="Times New Roman" w:cs="Times New Roman"/>
        </w:rPr>
        <w:t xml:space="preserve"> discussion on the work item for Mobile IAB [1]. The WI objectives specific for RAN4 were defined in work item description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81FFA" w14:paraId="073917ED" w14:textId="77777777" w:rsidTr="00F81FFA">
        <w:tc>
          <w:tcPr>
            <w:tcW w:w="9617" w:type="dxa"/>
          </w:tcPr>
          <w:p w14:paraId="0213AD37" w14:textId="77777777" w:rsidR="00F81FFA" w:rsidRPr="00650C88" w:rsidRDefault="00F81FFA" w:rsidP="00F81FFA">
            <w:pPr>
              <w:pStyle w:val="maintext"/>
              <w:spacing w:line="240" w:lineRule="auto"/>
              <w:ind w:left="720" w:firstLineChars="0" w:firstLine="0"/>
              <w:jc w:val="left"/>
              <w:rPr>
                <w:rFonts w:eastAsia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50C88">
              <w:rPr>
                <w:rFonts w:eastAsia="Times New Roman" w:cs="Times New Roman"/>
                <w:i/>
                <w:iCs/>
                <w:sz w:val="20"/>
                <w:szCs w:val="20"/>
                <w:lang w:eastAsia="en-US"/>
              </w:rPr>
              <w:t>RAN4 is expected to study impact on RF and RRM requirements:</w:t>
            </w:r>
          </w:p>
          <w:p w14:paraId="47E8C570" w14:textId="77777777" w:rsidR="00F81FFA" w:rsidRPr="00650C88" w:rsidRDefault="00F81FFA" w:rsidP="00F81FFA">
            <w:pPr>
              <w:pStyle w:val="maintext"/>
              <w:numPr>
                <w:ilvl w:val="0"/>
                <w:numId w:val="27"/>
              </w:numPr>
              <w:spacing w:before="0" w:after="0" w:line="240" w:lineRule="auto"/>
              <w:ind w:left="1434" w:firstLineChars="0" w:hanging="357"/>
              <w:jc w:val="left"/>
              <w:rPr>
                <w:rFonts w:eastAsia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50C88">
              <w:rPr>
                <w:rFonts w:eastAsia="Times New Roman" w:cs="Times New Roman"/>
                <w:i/>
                <w:iCs/>
                <w:sz w:val="20"/>
                <w:szCs w:val="20"/>
                <w:lang w:eastAsia="en-US"/>
              </w:rPr>
              <w:t xml:space="preserve">Conduct co-existence study to assess the impact of moving cells. Based on the study outcome, specify RF and RRM requirements and mechanisms for the mobile IAB-node to enable co-existence, if needed. </w:t>
            </w:r>
          </w:p>
          <w:p w14:paraId="47EB24D8" w14:textId="77777777" w:rsidR="00F81FFA" w:rsidRPr="00650C88" w:rsidRDefault="00F81FFA" w:rsidP="00F81FFA">
            <w:pPr>
              <w:pStyle w:val="maintext"/>
              <w:numPr>
                <w:ilvl w:val="0"/>
                <w:numId w:val="27"/>
              </w:numPr>
              <w:spacing w:before="0" w:line="240" w:lineRule="auto"/>
              <w:ind w:left="1434" w:firstLineChars="0" w:hanging="357"/>
              <w:jc w:val="left"/>
              <w:rPr>
                <w:rFonts w:eastAsia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50C88">
              <w:rPr>
                <w:rFonts w:eastAsia="Times New Roman" w:cs="Times New Roman"/>
                <w:i/>
                <w:iCs/>
                <w:sz w:val="20"/>
                <w:szCs w:val="20"/>
                <w:lang w:eastAsia="en-US"/>
              </w:rPr>
              <w:t>Specify RRM requirements for the mobile IAB-node to enable IAB-node mobility, if needed.</w:t>
            </w:r>
          </w:p>
          <w:p w14:paraId="7707F46E" w14:textId="77777777" w:rsidR="00F81FFA" w:rsidRDefault="00F81FFA" w:rsidP="00F81FFA">
            <w:pPr>
              <w:rPr>
                <w:rFonts w:eastAsia="Times New Roman" w:cs="Times New Roman"/>
              </w:rPr>
            </w:pPr>
          </w:p>
        </w:tc>
      </w:tr>
    </w:tbl>
    <w:p w14:paraId="294DF4FE" w14:textId="501DA114" w:rsidR="00F81FFA" w:rsidRDefault="00F81FFA" w:rsidP="00F81FFA"/>
    <w:p w14:paraId="2EBC6CD8" w14:textId="25D57169" w:rsidR="00F81FFA" w:rsidRDefault="00F81FFA" w:rsidP="00F81FFA">
      <w:r>
        <w:t>Agreements from RAN4#106</w:t>
      </w:r>
      <w:r w:rsidR="009469CF">
        <w:t>-bis meetings</w:t>
      </w:r>
      <w:r>
        <w:t xml:space="preserve"> are captured in agreed way forward</w:t>
      </w:r>
      <w:r w:rsidR="009469CF">
        <w:t>s</w:t>
      </w:r>
      <w:r>
        <w:t xml:space="preserve"> [2].</w:t>
      </w:r>
      <w:r w:rsidR="000A1BB6">
        <w:t xml:space="preserve"> </w:t>
      </w:r>
      <w:bookmarkEnd w:id="4"/>
      <w:r>
        <w:t>In this contribution we</w:t>
      </w:r>
      <w:r w:rsidR="000A1BB6">
        <w:t xml:space="preserve"> elaborate further </w:t>
      </w:r>
      <w:r w:rsidR="00D46034">
        <w:t xml:space="preserve">on </w:t>
      </w:r>
      <w:r w:rsidR="000A1BB6">
        <w:t>the assumption for the co-existence evaluation</w:t>
      </w:r>
      <w:r>
        <w:t>.</w:t>
      </w:r>
    </w:p>
    <w:p w14:paraId="0B1C871B" w14:textId="77777777" w:rsidR="0060543D" w:rsidRPr="00EF698B" w:rsidRDefault="0060543D" w:rsidP="005C23A4"/>
    <w:p w14:paraId="6077D260" w14:textId="77777777" w:rsidR="003B659E" w:rsidRPr="00EF698B" w:rsidRDefault="003B659E" w:rsidP="00AE56B1">
      <w:pPr>
        <w:pStyle w:val="RAN4H1"/>
        <w:rPr>
          <w:lang w:val="en-US"/>
        </w:rPr>
      </w:pPr>
      <w:bookmarkStart w:id="5" w:name="_Toc116995842"/>
      <w:r w:rsidRPr="00EF698B">
        <w:rPr>
          <w:lang w:val="en-US"/>
        </w:rPr>
        <w:t>Discussion</w:t>
      </w:r>
      <w:bookmarkEnd w:id="5"/>
    </w:p>
    <w:p w14:paraId="58EA0D00" w14:textId="76323CC3" w:rsidR="00CB22B2" w:rsidRDefault="000A1BB6" w:rsidP="00496606">
      <w:pPr>
        <w:pStyle w:val="RAN4H2"/>
      </w:pPr>
      <w:r>
        <w:t>Interference scenarios</w:t>
      </w:r>
    </w:p>
    <w:p w14:paraId="15DA2350" w14:textId="77777777" w:rsidR="00286A54" w:rsidRDefault="00286A54" w:rsidP="005C23A4">
      <w:r>
        <w:t>As the starting point, WF lists the interference scenario to be considered for co-existence. Tables from [2] copied in Appendix A for convenience.</w:t>
      </w:r>
    </w:p>
    <w:p w14:paraId="13064C50" w14:textId="77307E59" w:rsidR="00866B7D" w:rsidRDefault="00286A54" w:rsidP="005C23A4">
      <w:r>
        <w:t>As indicated, there are certain cases that are already covered in the existing specified requirements, namely</w:t>
      </w:r>
      <w:r w:rsidR="00866B7D">
        <w:t>:</w:t>
      </w:r>
    </w:p>
    <w:p w14:paraId="2A6A5D62" w14:textId="1B67C655" w:rsidR="00866B7D" w:rsidRDefault="00866B7D" w:rsidP="00866B7D">
      <w:pPr>
        <w:pStyle w:val="ListParagraph"/>
        <w:numPr>
          <w:ilvl w:val="0"/>
          <w:numId w:val="27"/>
        </w:numPr>
        <w:rPr>
          <w:noProof/>
        </w:rPr>
      </w:pPr>
      <w:r>
        <w:t xml:space="preserve">IAB </w:t>
      </w:r>
      <w:r>
        <w:rPr>
          <w:rFonts w:ascii="Wingdings" w:eastAsia="Wingdings" w:hAnsi="Wingdings" w:cs="Wingdings"/>
        </w:rPr>
        <w:t>ßà</w:t>
      </w:r>
      <w:r>
        <w:t xml:space="preserve"> NR (Table 1): Cases 1, 4, 6 and 8.</w:t>
      </w:r>
    </w:p>
    <w:p w14:paraId="26018F05" w14:textId="773FA821" w:rsidR="005C23A4" w:rsidRPr="0076221B" w:rsidRDefault="00866B7D" w:rsidP="00866B7D">
      <w:pPr>
        <w:rPr>
          <w:b/>
          <w:bCs/>
          <w:noProof/>
        </w:rPr>
      </w:pPr>
      <w:r w:rsidRPr="0076221B">
        <w:rPr>
          <w:b/>
          <w:bCs/>
          <w:noProof/>
        </w:rPr>
        <w:t>Proposal 1. Interference scenarios 1, 4, 6 and 8 in [2] can be excluded from the mobile IAB co-existence.</w:t>
      </w:r>
    </w:p>
    <w:p w14:paraId="6021FE4F" w14:textId="6F933D46" w:rsidR="00866B7D" w:rsidRDefault="00866B7D" w:rsidP="00866B7D">
      <w:pPr>
        <w:rPr>
          <w:noProof/>
        </w:rPr>
      </w:pPr>
      <w:r>
        <w:rPr>
          <w:noProof/>
        </w:rPr>
        <w:t>Following agreement was also made</w:t>
      </w:r>
      <w:r w:rsidR="0076221B">
        <w:rPr>
          <w:noProof/>
        </w:rPr>
        <w:t xml:space="preserve"> by RAN4#106bis-e</w:t>
      </w:r>
      <w:r>
        <w:rPr>
          <w:noProof/>
        </w:rPr>
        <w:t>:</w:t>
      </w:r>
    </w:p>
    <w:p w14:paraId="4CCBAF57" w14:textId="77777777" w:rsidR="0076221B" w:rsidRPr="0076221B" w:rsidRDefault="0076221B" w:rsidP="0076221B">
      <w:pPr>
        <w:pStyle w:val="ListParagraph"/>
        <w:numPr>
          <w:ilvl w:val="0"/>
          <w:numId w:val="30"/>
        </w:numPr>
        <w:spacing w:after="0" w:line="256" w:lineRule="auto"/>
        <w:contextualSpacing w:val="0"/>
        <w:rPr>
          <w:i/>
          <w:iCs/>
        </w:rPr>
      </w:pPr>
      <w:r w:rsidRPr="0076221B">
        <w:rPr>
          <w:i/>
          <w:iCs/>
          <w:lang w:val="en-GB"/>
        </w:rPr>
        <w:t>RAN4 to focus on antenna installation with IAB-MT antenna outside (e.g., rooftop) the vehicle and IAB-DU antenna inside the vehicle.</w:t>
      </w:r>
    </w:p>
    <w:p w14:paraId="3D126EF4" w14:textId="77777777" w:rsidR="0076221B" w:rsidRDefault="0076221B" w:rsidP="0076221B">
      <w:pPr>
        <w:pStyle w:val="ListParagraph"/>
        <w:numPr>
          <w:ilvl w:val="0"/>
          <w:numId w:val="30"/>
        </w:numPr>
        <w:spacing w:after="0" w:line="256" w:lineRule="auto"/>
        <w:contextualSpacing w:val="0"/>
      </w:pPr>
      <w:r w:rsidRPr="0076221B">
        <w:rPr>
          <w:i/>
          <w:iCs/>
        </w:rPr>
        <w:t>FFS on the MT /DU antenna modeling</w:t>
      </w:r>
    </w:p>
    <w:p w14:paraId="0FA53964" w14:textId="5707036E" w:rsidR="00866B7D" w:rsidRDefault="00866B7D" w:rsidP="00866B7D">
      <w:pPr>
        <w:rPr>
          <w:noProof/>
        </w:rPr>
      </w:pPr>
    </w:p>
    <w:p w14:paraId="431B70C5" w14:textId="3F52E43B" w:rsidR="0076221B" w:rsidRDefault="0076221B" w:rsidP="00866B7D">
      <w:pPr>
        <w:rPr>
          <w:noProof/>
        </w:rPr>
      </w:pPr>
      <w:r>
        <w:rPr>
          <w:noProof/>
        </w:rPr>
        <w:t>Regarding the IAB-MT installation, the earlier assumptions used for co-existence can apply just that the antenna hight can be mobile IAB specific.</w:t>
      </w:r>
    </w:p>
    <w:p w14:paraId="6A0A8605" w14:textId="47260D68" w:rsidR="0076221B" w:rsidRPr="0076221B" w:rsidRDefault="0076221B" w:rsidP="00866B7D">
      <w:pPr>
        <w:rPr>
          <w:b/>
          <w:bCs/>
          <w:noProof/>
        </w:rPr>
      </w:pPr>
      <w:r w:rsidRPr="0076221B">
        <w:rPr>
          <w:b/>
          <w:bCs/>
          <w:noProof/>
        </w:rPr>
        <w:t xml:space="preserve">Proposal 2. Assumed assumptions for IAB-MT antenna structure </w:t>
      </w:r>
      <w:r>
        <w:rPr>
          <w:b/>
          <w:bCs/>
          <w:noProof/>
        </w:rPr>
        <w:t xml:space="preserve">and modeling </w:t>
      </w:r>
      <w:r w:rsidRPr="0076221B">
        <w:rPr>
          <w:b/>
          <w:bCs/>
          <w:noProof/>
        </w:rPr>
        <w:t>can be applied for mobile IAB except the modified antenna hight.</w:t>
      </w:r>
    </w:p>
    <w:p w14:paraId="30BCEB39" w14:textId="5AC6DCBC" w:rsidR="00065005" w:rsidRDefault="0076221B" w:rsidP="0060543D">
      <w:r>
        <w:t xml:space="preserve">IAB-DU antenna when assumed to be inside the vehicle possibly would require some modification. There could be different options to model the installation </w:t>
      </w:r>
      <w:proofErr w:type="gramStart"/>
      <w:r>
        <w:t>e.g.</w:t>
      </w:r>
      <w:proofErr w:type="gramEnd"/>
      <w:r>
        <w:t xml:space="preserve"> adjusting the IAB-DU TX power and RX level</w:t>
      </w:r>
      <w:r w:rsidR="00065005">
        <w:t xml:space="preserve">, or adding a specified </w:t>
      </w:r>
      <w:r w:rsidR="00065005">
        <w:lastRenderedPageBreak/>
        <w:t xml:space="preserve">attenuation factor </w:t>
      </w:r>
      <w:r>
        <w:t xml:space="preserve">reflecting the isolation between the inside and outside </w:t>
      </w:r>
      <w:r w:rsidR="00065005">
        <w:t>cells. Other options may also exist. The isolation factor needs to be discussed whether some relevant value(s) exist.</w:t>
      </w:r>
    </w:p>
    <w:p w14:paraId="1A0EF6EF" w14:textId="64827D01" w:rsidR="00065005" w:rsidRPr="00065005" w:rsidRDefault="00065005" w:rsidP="0060543D">
      <w:pPr>
        <w:rPr>
          <w:b/>
          <w:bCs/>
        </w:rPr>
      </w:pPr>
      <w:r w:rsidRPr="00065005">
        <w:rPr>
          <w:b/>
          <w:bCs/>
        </w:rPr>
        <w:t>Proposal 3. RAN4 to discuss suitable options for modeling the mobile cells and how the installation inside the vehicle can be considered.</w:t>
      </w:r>
    </w:p>
    <w:p w14:paraId="5AC21EF7" w14:textId="5A98C03F" w:rsidR="0060543D" w:rsidRPr="0060543D" w:rsidRDefault="0060543D" w:rsidP="0060543D"/>
    <w:p w14:paraId="642ABDF3" w14:textId="77777777" w:rsidR="00CD7492" w:rsidRPr="00EF698B" w:rsidRDefault="00CD7492" w:rsidP="00A37002">
      <w:pPr>
        <w:pStyle w:val="RAN4H1"/>
        <w:rPr>
          <w:lang w:val="en-US"/>
        </w:rPr>
      </w:pPr>
      <w:bookmarkStart w:id="6" w:name="_Toc116995848"/>
      <w:r w:rsidRPr="00EF698B">
        <w:rPr>
          <w:lang w:val="en-US"/>
        </w:rPr>
        <w:t>Conclusion</w:t>
      </w:r>
      <w:bookmarkEnd w:id="6"/>
    </w:p>
    <w:p w14:paraId="0317DEB6" w14:textId="7DA5EF4C" w:rsidR="007C5971" w:rsidRDefault="00923E6F" w:rsidP="005C23A4">
      <w:r w:rsidRPr="00923E6F">
        <w:t xml:space="preserve">In this contribution, we </w:t>
      </w:r>
      <w:r w:rsidR="00065005">
        <w:t>elaborated further the assumptions for co-existence evaluations, and we ended up with following proposals:</w:t>
      </w:r>
    </w:p>
    <w:p w14:paraId="68CED645" w14:textId="77777777" w:rsidR="00065005" w:rsidRPr="0076221B" w:rsidRDefault="00065005" w:rsidP="00065005">
      <w:pPr>
        <w:rPr>
          <w:b/>
          <w:bCs/>
          <w:noProof/>
        </w:rPr>
      </w:pPr>
      <w:bookmarkStart w:id="7" w:name="_Toc116995849"/>
      <w:r w:rsidRPr="0076221B">
        <w:rPr>
          <w:b/>
          <w:bCs/>
          <w:noProof/>
        </w:rPr>
        <w:t>Proposal 1. Interference scenarios 1, 4, 6 and 8 in [2] can be excluded from the mobile IAB co-existence.</w:t>
      </w:r>
    </w:p>
    <w:p w14:paraId="16994144" w14:textId="77777777" w:rsidR="00065005" w:rsidRPr="0076221B" w:rsidRDefault="00065005" w:rsidP="00065005">
      <w:pPr>
        <w:rPr>
          <w:b/>
          <w:bCs/>
          <w:noProof/>
        </w:rPr>
      </w:pPr>
      <w:r w:rsidRPr="0076221B">
        <w:rPr>
          <w:b/>
          <w:bCs/>
          <w:noProof/>
        </w:rPr>
        <w:t xml:space="preserve">Proposal 2. Assumed assumptions for IAB-MT antenna structure </w:t>
      </w:r>
      <w:r>
        <w:rPr>
          <w:b/>
          <w:bCs/>
          <w:noProof/>
        </w:rPr>
        <w:t xml:space="preserve">and modeling </w:t>
      </w:r>
      <w:r w:rsidRPr="0076221B">
        <w:rPr>
          <w:b/>
          <w:bCs/>
          <w:noProof/>
        </w:rPr>
        <w:t>can be applied for mobile IAB except the modified antenna hight.</w:t>
      </w:r>
    </w:p>
    <w:p w14:paraId="39B31D36" w14:textId="77777777" w:rsidR="00065005" w:rsidRPr="00065005" w:rsidRDefault="00065005" w:rsidP="00065005">
      <w:pPr>
        <w:rPr>
          <w:b/>
          <w:bCs/>
        </w:rPr>
      </w:pPr>
      <w:r w:rsidRPr="00065005">
        <w:rPr>
          <w:b/>
          <w:bCs/>
        </w:rPr>
        <w:t>Proposal 3. RAN4 to discuss suitable options for modeling the mobile cells and how the installation inside the vehicle can be considered.</w:t>
      </w:r>
    </w:p>
    <w:p w14:paraId="33C84C71" w14:textId="77777777" w:rsidR="00286A54" w:rsidRPr="00EF698B" w:rsidRDefault="00286A54" w:rsidP="000A1BB6"/>
    <w:p w14:paraId="07C65484" w14:textId="56E4AB32" w:rsidR="003B659E" w:rsidRPr="0060543D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EF698B">
        <w:t>References</w:t>
      </w:r>
      <w:bookmarkEnd w:id="7"/>
    </w:p>
    <w:p w14:paraId="02275E80" w14:textId="230D475A" w:rsidR="00F81FFA" w:rsidRDefault="00F81FFA" w:rsidP="00F81FFA">
      <w:pPr>
        <w:pStyle w:val="ListParagraph"/>
        <w:numPr>
          <w:ilvl w:val="0"/>
          <w:numId w:val="21"/>
        </w:numPr>
        <w:ind w:right="-22"/>
      </w:pPr>
      <w:bookmarkStart w:id="8" w:name="_Ref114500673"/>
      <w:bookmarkEnd w:id="8"/>
      <w:r w:rsidRPr="00B85140">
        <w:t xml:space="preserve">RP-222671, </w:t>
      </w:r>
      <w:r w:rsidRPr="00F81FFA">
        <w:t>Mobile IAB (Integrated Access and Backhaul) for NR</w:t>
      </w:r>
      <w:r w:rsidRPr="005853A9">
        <w:t xml:space="preserve"> </w:t>
      </w:r>
    </w:p>
    <w:p w14:paraId="31415F8B" w14:textId="71532203" w:rsidR="009469CF" w:rsidRDefault="009469CF" w:rsidP="00F81FFA">
      <w:pPr>
        <w:pStyle w:val="ListParagraph"/>
        <w:numPr>
          <w:ilvl w:val="0"/>
          <w:numId w:val="21"/>
        </w:numPr>
        <w:ind w:right="-22"/>
      </w:pPr>
      <w:r w:rsidRPr="009469CF">
        <w:t>R4-2305935</w:t>
      </w:r>
      <w:r>
        <w:t>,</w:t>
      </w:r>
      <w:r w:rsidRPr="009469CF">
        <w:t xml:space="preserve"> WF on mIAB RF requirements and coexistence</w:t>
      </w:r>
      <w:r>
        <w:t xml:space="preserve">, </w:t>
      </w:r>
      <w:r w:rsidRPr="00F81FFA">
        <w:t>Qualcomm Incorporated</w:t>
      </w:r>
    </w:p>
    <w:p w14:paraId="52999991" w14:textId="77777777" w:rsidR="000040DC" w:rsidRDefault="000040DC" w:rsidP="000040DC">
      <w:pPr>
        <w:ind w:right="-22"/>
        <w:rPr>
          <w:highlight w:val="yellow"/>
        </w:rPr>
      </w:pPr>
    </w:p>
    <w:p w14:paraId="351C01C4" w14:textId="77777777" w:rsidR="00286A54" w:rsidRPr="00EF698B" w:rsidRDefault="00286A54" w:rsidP="00286A54"/>
    <w:p w14:paraId="0E7C9C6A" w14:textId="78FDA181" w:rsidR="00286A54" w:rsidRDefault="00286A54" w:rsidP="00286A54">
      <w:pPr>
        <w:pStyle w:val="RAN4H1"/>
        <w:numPr>
          <w:ilvl w:val="0"/>
          <w:numId w:val="0"/>
        </w:numPr>
        <w:ind w:left="360" w:hanging="360"/>
      </w:pPr>
      <w:r>
        <w:t>Appendix A</w:t>
      </w:r>
    </w:p>
    <w:p w14:paraId="3529C7E0" w14:textId="60B32D2C" w:rsidR="00065005" w:rsidRPr="00065005" w:rsidRDefault="00065005" w:rsidP="00065005">
      <w:pPr>
        <w:rPr>
          <w:lang w:val="en-GB"/>
        </w:rPr>
      </w:pPr>
      <w:r>
        <w:rPr>
          <w:lang w:val="en-GB"/>
        </w:rPr>
        <w:t>Interference scenarios as defined in the WF [2].</w:t>
      </w:r>
    </w:p>
    <w:p w14:paraId="23EC6B41" w14:textId="77777777" w:rsidR="00286A54" w:rsidRDefault="00286A54" w:rsidP="00286A54">
      <w:pPr>
        <w:pStyle w:val="B2"/>
        <w:ind w:left="720" w:firstLine="720"/>
        <w:rPr>
          <w:lang w:eastAsia="ja-JP"/>
        </w:rPr>
      </w:pPr>
      <w:r>
        <w:rPr>
          <w:lang w:eastAsia="ja-JP"/>
        </w:rPr>
        <w:t>Table 1:  Scenarios simulated for layout 1&amp;2 between IAB &lt;-&gt; NR</w:t>
      </w: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94"/>
        <w:gridCol w:w="432"/>
        <w:gridCol w:w="2636"/>
        <w:gridCol w:w="2210"/>
        <w:gridCol w:w="1237"/>
        <w:gridCol w:w="1798"/>
      </w:tblGrid>
      <w:tr w:rsidR="00286A54" w14:paraId="025C98A9" w14:textId="77777777" w:rsidTr="00286A54">
        <w:trPr>
          <w:trHeight w:val="560"/>
        </w:trPr>
        <w:tc>
          <w:tcPr>
            <w:tcW w:w="673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3FDB4F7D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val="sv-SE" w:eastAsia="sv-SE"/>
              </w:rPr>
            </w:pPr>
            <w:r>
              <w:rPr>
                <w:rFonts w:ascii="Calibri" w:eastAsia="DengXian" w:hAnsi="Calibri"/>
                <w:b/>
                <w:bCs/>
                <w:lang w:val="sv-SE" w:eastAsia="sv-SE"/>
              </w:rPr>
              <w:t>Deployment Scenario</w:t>
            </w:r>
          </w:p>
          <w:p w14:paraId="5B855510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val="sv-SE" w:eastAsia="sv-SE"/>
              </w:rPr>
            </w:pPr>
            <w:r>
              <w:rPr>
                <w:rFonts w:ascii="Calibri" w:eastAsia="DengXian" w:hAnsi="Calibri"/>
                <w:b/>
                <w:bCs/>
                <w:lang w:val="sv-SE" w:eastAsia="sv-SE"/>
              </w:rPr>
              <w:t>(Aggressor-&gt;Victim)</w:t>
            </w:r>
          </w:p>
        </w:tc>
        <w:tc>
          <w:tcPr>
            <w:tcW w:w="225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14:paraId="251D1ACF" w14:textId="77777777" w:rsidR="00286A54" w:rsidRDefault="00286A54">
            <w:pPr>
              <w:spacing w:line="254" w:lineRule="auto"/>
              <w:jc w:val="center"/>
              <w:rPr>
                <w:rFonts w:ascii="Calibri" w:eastAsia="DengXian" w:hAnsi="Calibri"/>
                <w:lang w:val="sv-SE" w:eastAsia="sv-SE"/>
              </w:rPr>
            </w:pPr>
            <w:r>
              <w:rPr>
                <w:rFonts w:ascii="Calibri" w:eastAsia="DengXian" w:hAnsi="Calibri"/>
                <w:b/>
                <w:bCs/>
                <w:lang w:val="sv-SE" w:eastAsia="sv-SE"/>
              </w:rPr>
              <w:t>Case</w:t>
            </w:r>
          </w:p>
          <w:p w14:paraId="689A426D" w14:textId="77777777" w:rsidR="00286A54" w:rsidRDefault="00286A54">
            <w:pPr>
              <w:spacing w:line="254" w:lineRule="auto"/>
              <w:jc w:val="center"/>
              <w:rPr>
                <w:rFonts w:ascii="Calibri" w:eastAsia="DengXian" w:hAnsi="Calibri"/>
                <w:b/>
                <w:bCs/>
                <w:lang w:val="sv-SE" w:eastAsia="sv-SE"/>
              </w:rPr>
            </w:pPr>
            <w:r>
              <w:rPr>
                <w:rFonts w:ascii="Calibri" w:eastAsia="DengXian" w:hAnsi="Calibri"/>
                <w:b/>
                <w:bCs/>
                <w:lang w:val="sv-SE" w:eastAsia="sv-SE"/>
              </w:rPr>
              <w:t>No.</w:t>
            </w:r>
          </w:p>
        </w:tc>
        <w:tc>
          <w:tcPr>
            <w:tcW w:w="1372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00F33787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val="sv-SE" w:eastAsia="sv-SE"/>
              </w:rPr>
            </w:pPr>
            <w:r>
              <w:rPr>
                <w:rFonts w:ascii="Calibri" w:eastAsia="DengXian" w:hAnsi="Calibri"/>
                <w:b/>
                <w:bCs/>
                <w:lang w:val="sv-SE" w:eastAsia="sv-SE"/>
              </w:rPr>
              <w:t xml:space="preserve">Baseline </w:t>
            </w:r>
          </w:p>
        </w:tc>
        <w:tc>
          <w:tcPr>
            <w:tcW w:w="1150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0DA5E70D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  <w:r>
              <w:rPr>
                <w:rFonts w:ascii="Calibri" w:eastAsia="DengXian" w:hAnsi="Calibri"/>
                <w:b/>
                <w:bCs/>
                <w:lang w:eastAsia="sv-SE"/>
              </w:rPr>
              <w:t xml:space="preserve">Aggressor </w:t>
            </w:r>
          </w:p>
        </w:tc>
        <w:tc>
          <w:tcPr>
            <w:tcW w:w="644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309D8942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val="sv-SE" w:eastAsia="sv-SE"/>
              </w:rPr>
            </w:pPr>
            <w:r>
              <w:rPr>
                <w:rFonts w:ascii="Calibri" w:eastAsia="DengXian" w:hAnsi="Calibri"/>
                <w:b/>
                <w:bCs/>
                <w:lang w:val="sv-SE" w:eastAsia="sv-SE"/>
              </w:rPr>
              <w:t xml:space="preserve">Victim </w:t>
            </w:r>
          </w:p>
        </w:tc>
        <w:tc>
          <w:tcPr>
            <w:tcW w:w="936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14:paraId="26A77C69" w14:textId="77777777" w:rsidR="00286A54" w:rsidRDefault="00286A54">
            <w:pPr>
              <w:spacing w:line="254" w:lineRule="auto"/>
              <w:rPr>
                <w:rFonts w:ascii="Calibri" w:eastAsia="DengXian" w:hAnsi="Calibri"/>
                <w:b/>
                <w:bCs/>
                <w:lang w:val="sv-SE" w:eastAsia="sv-SE"/>
              </w:rPr>
            </w:pPr>
            <w:r>
              <w:rPr>
                <w:rFonts w:ascii="Calibri" w:eastAsia="DengXian" w:hAnsi="Calibri"/>
                <w:b/>
                <w:bCs/>
                <w:lang w:val="sv-SE" w:eastAsia="sv-SE"/>
              </w:rPr>
              <w:t>Comemnts (related RF parameter)</w:t>
            </w:r>
          </w:p>
        </w:tc>
      </w:tr>
      <w:tr w:rsidR="00286A54" w14:paraId="4B859CA4" w14:textId="77777777" w:rsidTr="00286A54">
        <w:trPr>
          <w:trHeight w:val="490"/>
        </w:trPr>
        <w:tc>
          <w:tcPr>
            <w:tcW w:w="673" w:type="pct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35593252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val="sv-SE" w:eastAsia="sv-SE"/>
              </w:rPr>
            </w:pPr>
            <w:r>
              <w:rPr>
                <w:rFonts w:ascii="Calibri" w:eastAsia="DengXian" w:hAnsi="Calibri"/>
                <w:lang w:val="sv-SE" w:eastAsia="sv-SE"/>
              </w:rPr>
              <w:t>IAB -&gt; NR Macro</w:t>
            </w:r>
          </w:p>
        </w:tc>
        <w:tc>
          <w:tcPr>
            <w:tcW w:w="225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14:paraId="39EC4859" w14:textId="77777777" w:rsidR="00286A54" w:rsidRDefault="00286A54">
            <w:pPr>
              <w:spacing w:line="254" w:lineRule="auto"/>
              <w:jc w:val="center"/>
              <w:rPr>
                <w:rFonts w:ascii="Calibri" w:eastAsia="DengXian" w:hAnsi="Calibri"/>
                <w:lang w:eastAsia="sv-SE"/>
              </w:rPr>
            </w:pPr>
            <w:r>
              <w:rPr>
                <w:rFonts w:ascii="Calibri" w:eastAsia="DengXian" w:hAnsi="Calibri"/>
                <w:lang w:eastAsia="sv-SE"/>
              </w:rPr>
              <w:t>1</w:t>
            </w:r>
          </w:p>
        </w:tc>
        <w:tc>
          <w:tcPr>
            <w:tcW w:w="1372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38A05B48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  <w:r>
              <w:rPr>
                <w:rFonts w:ascii="Calibri" w:eastAsia="DengXian" w:hAnsi="Calibri"/>
                <w:lang w:eastAsia="sv-SE"/>
              </w:rPr>
              <w:t xml:space="preserve">NR DL </w:t>
            </w:r>
            <w:proofErr w:type="gramStart"/>
            <w:r>
              <w:rPr>
                <w:rFonts w:ascii="Calibri" w:eastAsia="DengXian" w:hAnsi="Calibri"/>
                <w:lang w:eastAsia="sv-SE"/>
              </w:rPr>
              <w:t>active:UE</w:t>
            </w:r>
            <w:proofErr w:type="gramEnd"/>
            <w:r>
              <w:rPr>
                <w:rFonts w:ascii="Calibri" w:eastAsia="DengXian" w:hAnsi="Calibri"/>
                <w:lang w:eastAsia="sv-SE"/>
              </w:rPr>
              <w:t xml:space="preserve"> receiving</w:t>
            </w:r>
          </w:p>
          <w:p w14:paraId="7ADAAC53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  <w:r>
              <w:rPr>
                <w:rFonts w:ascii="Calibri" w:eastAsia="DengXian" w:hAnsi="Calibri"/>
                <w:lang w:eastAsia="sv-SE"/>
              </w:rPr>
              <w:t xml:space="preserve">IAB (unenabled): access link </w:t>
            </w:r>
            <w:proofErr w:type="gramStart"/>
            <w:r>
              <w:rPr>
                <w:rFonts w:ascii="Calibri" w:eastAsia="DengXian" w:hAnsi="Calibri"/>
                <w:lang w:eastAsia="sv-SE"/>
              </w:rPr>
              <w:t>( IAB</w:t>
            </w:r>
            <w:proofErr w:type="gramEnd"/>
            <w:r>
              <w:rPr>
                <w:rFonts w:ascii="Calibri" w:eastAsia="DengXian" w:hAnsi="Calibri"/>
                <w:lang w:eastAsia="sv-SE"/>
              </w:rPr>
              <w:t>-DU) DL inactive, backhaul link ( IAB-MT) inactive</w:t>
            </w:r>
          </w:p>
        </w:tc>
        <w:tc>
          <w:tcPr>
            <w:tcW w:w="1150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</w:tcPr>
          <w:p w14:paraId="3211DDD2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</w:p>
          <w:p w14:paraId="727789E4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  <w:r>
              <w:rPr>
                <w:rFonts w:ascii="Calibri" w:eastAsia="DengXian" w:hAnsi="Calibri"/>
                <w:lang w:eastAsia="sv-SE"/>
              </w:rPr>
              <w:t xml:space="preserve">IAB: access link (IAB-DU) inactive, backhaul link </w:t>
            </w:r>
            <w:proofErr w:type="gramStart"/>
            <w:r>
              <w:rPr>
                <w:rFonts w:ascii="Calibri" w:eastAsia="DengXian" w:hAnsi="Calibri"/>
                <w:lang w:eastAsia="sv-SE"/>
              </w:rPr>
              <w:t>( IAB</w:t>
            </w:r>
            <w:proofErr w:type="gramEnd"/>
            <w:r>
              <w:rPr>
                <w:rFonts w:ascii="Calibri" w:eastAsia="DengXian" w:hAnsi="Calibri"/>
                <w:lang w:eastAsia="sv-SE"/>
              </w:rPr>
              <w:t>-MT) DL active : IAB donor transmitting</w:t>
            </w:r>
          </w:p>
        </w:tc>
        <w:tc>
          <w:tcPr>
            <w:tcW w:w="644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6EF1F067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  <w:r>
              <w:rPr>
                <w:rFonts w:ascii="Calibri" w:eastAsia="DengXian" w:hAnsi="Calibri"/>
                <w:lang w:eastAsia="sv-SE"/>
              </w:rPr>
              <w:t>NR DL: UE receiving</w:t>
            </w:r>
          </w:p>
        </w:tc>
        <w:tc>
          <w:tcPr>
            <w:tcW w:w="936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2A093EE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  <w:r>
              <w:rPr>
                <w:rFonts w:ascii="Calibri" w:eastAsia="DengXian" w:hAnsi="Calibri"/>
                <w:lang w:eastAsia="sv-SE"/>
              </w:rPr>
              <w:t>IAB donor ACLR is the same with normal BS, this case could be skipped.</w:t>
            </w:r>
          </w:p>
          <w:p w14:paraId="7557FCAE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</w:p>
        </w:tc>
      </w:tr>
      <w:tr w:rsidR="00286A54" w14:paraId="6A075970" w14:textId="77777777" w:rsidTr="00286A54">
        <w:trPr>
          <w:trHeight w:val="490"/>
        </w:trPr>
        <w:tc>
          <w:tcPr>
            <w:tcW w:w="0" w:type="auto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5FD71C1D" w14:textId="77777777" w:rsidR="00286A54" w:rsidRDefault="00286A54">
            <w:pPr>
              <w:spacing w:after="0" w:line="240" w:lineRule="auto"/>
              <w:rPr>
                <w:rFonts w:ascii="Calibri" w:eastAsia="DengXian" w:hAnsi="Calibri"/>
                <w:sz w:val="22"/>
                <w:lang w:val="sv-SE" w:eastAsia="sv-SE"/>
              </w:rPr>
            </w:pPr>
          </w:p>
        </w:tc>
        <w:tc>
          <w:tcPr>
            <w:tcW w:w="225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14:paraId="5A5E6AE3" w14:textId="77777777" w:rsidR="00286A54" w:rsidRDefault="00286A54">
            <w:pPr>
              <w:spacing w:line="254" w:lineRule="auto"/>
              <w:jc w:val="center"/>
              <w:rPr>
                <w:rFonts w:ascii="Calibri" w:eastAsia="DengXian" w:hAnsi="Calibri"/>
                <w:lang w:eastAsia="sv-SE"/>
              </w:rPr>
            </w:pPr>
            <w:r>
              <w:rPr>
                <w:rFonts w:ascii="Calibri" w:eastAsia="DengXian" w:hAnsi="Calibri"/>
                <w:lang w:eastAsia="sv-SE"/>
              </w:rPr>
              <w:t>2</w:t>
            </w:r>
          </w:p>
        </w:tc>
        <w:tc>
          <w:tcPr>
            <w:tcW w:w="1372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733764F2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  <w:r>
              <w:rPr>
                <w:rFonts w:ascii="Calibri" w:eastAsia="DengXian" w:hAnsi="Calibri"/>
                <w:lang w:eastAsia="sv-SE"/>
              </w:rPr>
              <w:t>NR DL active: UE receiving</w:t>
            </w:r>
          </w:p>
          <w:p w14:paraId="2F2899FE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  <w:r>
              <w:rPr>
                <w:rFonts w:ascii="Calibri" w:eastAsia="DengXian" w:hAnsi="Calibri"/>
                <w:lang w:eastAsia="sv-SE"/>
              </w:rPr>
              <w:t xml:space="preserve">IAB (unenabled): access link </w:t>
            </w:r>
            <w:proofErr w:type="gramStart"/>
            <w:r>
              <w:rPr>
                <w:rFonts w:ascii="Calibri" w:eastAsia="DengXian" w:hAnsi="Calibri"/>
                <w:lang w:eastAsia="sv-SE"/>
              </w:rPr>
              <w:t>( IAB</w:t>
            </w:r>
            <w:proofErr w:type="gramEnd"/>
            <w:r>
              <w:rPr>
                <w:rFonts w:ascii="Calibri" w:eastAsia="DengXian" w:hAnsi="Calibri"/>
                <w:lang w:eastAsia="sv-SE"/>
              </w:rPr>
              <w:t>-DU) DL inactive, backhaul link ( IAB-MT) inactive</w:t>
            </w:r>
          </w:p>
        </w:tc>
        <w:tc>
          <w:tcPr>
            <w:tcW w:w="1150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43A86556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  <w:r>
              <w:rPr>
                <w:rFonts w:ascii="Calibri" w:eastAsia="DengXian" w:hAnsi="Calibri"/>
                <w:lang w:eastAsia="sv-SE"/>
              </w:rPr>
              <w:t xml:space="preserve">IAB: access link (IAB-DU) inactive, backhaul link </w:t>
            </w:r>
            <w:proofErr w:type="gramStart"/>
            <w:r>
              <w:rPr>
                <w:rFonts w:ascii="Calibri" w:eastAsia="DengXian" w:hAnsi="Calibri"/>
                <w:lang w:eastAsia="sv-SE"/>
              </w:rPr>
              <w:t>( IAB</w:t>
            </w:r>
            <w:proofErr w:type="gramEnd"/>
            <w:r>
              <w:rPr>
                <w:rFonts w:ascii="Calibri" w:eastAsia="DengXian" w:hAnsi="Calibri"/>
                <w:lang w:eastAsia="sv-SE"/>
              </w:rPr>
              <w:t>-MT) inactive : IAB-DU transmitting</w:t>
            </w:r>
          </w:p>
        </w:tc>
        <w:tc>
          <w:tcPr>
            <w:tcW w:w="644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2E4479B2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  <w:r>
              <w:rPr>
                <w:rFonts w:ascii="Calibri" w:eastAsia="DengXian" w:hAnsi="Calibri"/>
                <w:lang w:eastAsia="sv-SE"/>
              </w:rPr>
              <w:t xml:space="preserve">NR DL active: UE receiving </w:t>
            </w:r>
          </w:p>
        </w:tc>
        <w:tc>
          <w:tcPr>
            <w:tcW w:w="936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14:paraId="13FD7942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val="sv-SE" w:eastAsia="sv-SE"/>
              </w:rPr>
            </w:pPr>
            <w:r>
              <w:rPr>
                <w:rFonts w:ascii="Calibri" w:eastAsia="DengXian" w:hAnsi="Calibri"/>
                <w:lang w:val="sv-SE" w:eastAsia="sv-SE"/>
              </w:rPr>
              <w:t>IAB-DU Tx power</w:t>
            </w:r>
          </w:p>
          <w:p w14:paraId="7E219969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val="sv-SE" w:eastAsia="sv-SE"/>
              </w:rPr>
            </w:pPr>
            <w:r>
              <w:rPr>
                <w:rFonts w:ascii="Calibri" w:eastAsia="DengXian" w:hAnsi="Calibri"/>
                <w:lang w:val="sv-SE" w:eastAsia="sv-SE"/>
              </w:rPr>
              <w:t>IAB-DU ACLR</w:t>
            </w:r>
          </w:p>
        </w:tc>
      </w:tr>
      <w:tr w:rsidR="00286A54" w14:paraId="200E512F" w14:textId="77777777" w:rsidTr="00286A54">
        <w:trPr>
          <w:trHeight w:val="490"/>
        </w:trPr>
        <w:tc>
          <w:tcPr>
            <w:tcW w:w="0" w:type="auto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36FF071D" w14:textId="77777777" w:rsidR="00286A54" w:rsidRDefault="00286A54">
            <w:pPr>
              <w:spacing w:after="0" w:line="240" w:lineRule="auto"/>
              <w:rPr>
                <w:rFonts w:ascii="Calibri" w:eastAsia="DengXian" w:hAnsi="Calibri"/>
                <w:sz w:val="22"/>
                <w:lang w:val="sv-SE" w:eastAsia="sv-SE"/>
              </w:rPr>
            </w:pPr>
          </w:p>
        </w:tc>
        <w:tc>
          <w:tcPr>
            <w:tcW w:w="225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14:paraId="70C0ACD0" w14:textId="77777777" w:rsidR="00286A54" w:rsidRDefault="00286A54">
            <w:pPr>
              <w:spacing w:line="254" w:lineRule="auto"/>
              <w:jc w:val="center"/>
              <w:rPr>
                <w:rFonts w:ascii="Calibri" w:eastAsia="DengXian" w:hAnsi="Calibri"/>
                <w:lang w:eastAsia="sv-SE"/>
              </w:rPr>
            </w:pPr>
            <w:r>
              <w:rPr>
                <w:rFonts w:ascii="Calibri" w:eastAsia="DengXian" w:hAnsi="Calibri"/>
                <w:lang w:eastAsia="sv-SE"/>
              </w:rPr>
              <w:t>3</w:t>
            </w:r>
          </w:p>
        </w:tc>
        <w:tc>
          <w:tcPr>
            <w:tcW w:w="1372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2AB29A21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  <w:r>
              <w:rPr>
                <w:rFonts w:ascii="Calibri" w:eastAsia="DengXian" w:hAnsi="Calibri"/>
                <w:lang w:eastAsia="sv-SE"/>
              </w:rPr>
              <w:t>NR UL active: BS receiving, UE transmitting</w:t>
            </w:r>
          </w:p>
          <w:p w14:paraId="20CFB37D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  <w:proofErr w:type="gramStart"/>
            <w:r>
              <w:rPr>
                <w:rFonts w:ascii="Calibri" w:eastAsia="DengXian" w:hAnsi="Calibri"/>
                <w:lang w:eastAsia="sv-SE"/>
              </w:rPr>
              <w:lastRenderedPageBreak/>
              <w:t>IAB(</w:t>
            </w:r>
            <w:proofErr w:type="gramEnd"/>
            <w:r>
              <w:rPr>
                <w:rFonts w:ascii="Calibri" w:eastAsia="DengXian" w:hAnsi="Calibri"/>
                <w:lang w:eastAsia="sv-SE"/>
              </w:rPr>
              <w:t>unenabled) : access link (IAB-DU) DL inactive, backhaul link (IAB-MT) inactive</w:t>
            </w:r>
          </w:p>
        </w:tc>
        <w:tc>
          <w:tcPr>
            <w:tcW w:w="1150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5B259188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  <w:r>
              <w:rPr>
                <w:rFonts w:ascii="Calibri" w:eastAsia="DengXian" w:hAnsi="Calibri"/>
                <w:lang w:eastAsia="sv-SE"/>
              </w:rPr>
              <w:lastRenderedPageBreak/>
              <w:t xml:space="preserve">IAB: access link (IAB-DU) inactive, backhaul link </w:t>
            </w:r>
            <w:r>
              <w:rPr>
                <w:rFonts w:ascii="Calibri" w:eastAsia="DengXian" w:hAnsi="Calibri"/>
                <w:lang w:eastAsia="sv-SE"/>
              </w:rPr>
              <w:lastRenderedPageBreak/>
              <w:t>(IAB-MT) UL active: IAB-MT transmitting</w:t>
            </w:r>
          </w:p>
        </w:tc>
        <w:tc>
          <w:tcPr>
            <w:tcW w:w="644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4B4D076A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val="sv-SE" w:eastAsia="sv-SE"/>
              </w:rPr>
            </w:pPr>
            <w:r>
              <w:rPr>
                <w:rFonts w:ascii="Calibri" w:eastAsia="DengXian" w:hAnsi="Calibri"/>
                <w:lang w:val="sv-SE" w:eastAsia="sv-SE"/>
              </w:rPr>
              <w:lastRenderedPageBreak/>
              <w:t>NR, UL</w:t>
            </w:r>
          </w:p>
        </w:tc>
        <w:tc>
          <w:tcPr>
            <w:tcW w:w="936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14:paraId="652254C2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  <w:r>
              <w:rPr>
                <w:rFonts w:ascii="Calibri" w:eastAsia="DengXian" w:hAnsi="Calibri"/>
                <w:lang w:eastAsia="sv-SE"/>
              </w:rPr>
              <w:t>IAB-MT Tx power</w:t>
            </w:r>
          </w:p>
          <w:p w14:paraId="711A7BDA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  <w:r>
              <w:rPr>
                <w:rFonts w:ascii="Calibri" w:eastAsia="DengXian" w:hAnsi="Calibri"/>
                <w:lang w:eastAsia="sv-SE"/>
              </w:rPr>
              <w:lastRenderedPageBreak/>
              <w:t>IAB-MT ACLR</w:t>
            </w:r>
          </w:p>
        </w:tc>
      </w:tr>
      <w:tr w:rsidR="00286A54" w14:paraId="3471AF55" w14:textId="77777777" w:rsidTr="00286A54">
        <w:trPr>
          <w:trHeight w:val="490"/>
        </w:trPr>
        <w:tc>
          <w:tcPr>
            <w:tcW w:w="0" w:type="auto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604D3CA2" w14:textId="77777777" w:rsidR="00286A54" w:rsidRDefault="00286A54">
            <w:pPr>
              <w:spacing w:after="0" w:line="240" w:lineRule="auto"/>
              <w:rPr>
                <w:rFonts w:ascii="Calibri" w:eastAsia="DengXian" w:hAnsi="Calibri"/>
                <w:sz w:val="22"/>
                <w:lang w:val="sv-SE" w:eastAsia="sv-SE"/>
              </w:rPr>
            </w:pPr>
          </w:p>
        </w:tc>
        <w:tc>
          <w:tcPr>
            <w:tcW w:w="225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14:paraId="0E1BF469" w14:textId="77777777" w:rsidR="00286A54" w:rsidRDefault="00286A54">
            <w:pPr>
              <w:spacing w:line="254" w:lineRule="auto"/>
              <w:jc w:val="center"/>
              <w:rPr>
                <w:rFonts w:ascii="Calibri" w:eastAsia="DengXian" w:hAnsi="Calibri"/>
                <w:lang w:eastAsia="sv-SE"/>
              </w:rPr>
            </w:pPr>
            <w:r>
              <w:rPr>
                <w:rFonts w:ascii="Calibri" w:eastAsia="DengXian" w:hAnsi="Calibri"/>
                <w:lang w:eastAsia="sv-SE"/>
              </w:rPr>
              <w:t>4</w:t>
            </w:r>
          </w:p>
        </w:tc>
        <w:tc>
          <w:tcPr>
            <w:tcW w:w="1372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617C26A6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  <w:r>
              <w:rPr>
                <w:rFonts w:ascii="Calibri" w:eastAsia="DengXian" w:hAnsi="Calibri"/>
                <w:lang w:eastAsia="sv-SE"/>
              </w:rPr>
              <w:t>NR UL active: BS receiving, UE transmitting</w:t>
            </w:r>
          </w:p>
          <w:p w14:paraId="72E3AB95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  <w:proofErr w:type="gramStart"/>
            <w:r>
              <w:rPr>
                <w:rFonts w:ascii="Calibri" w:eastAsia="DengXian" w:hAnsi="Calibri"/>
                <w:lang w:eastAsia="sv-SE"/>
              </w:rPr>
              <w:t>IAB(</w:t>
            </w:r>
            <w:proofErr w:type="gramEnd"/>
            <w:r>
              <w:rPr>
                <w:rFonts w:ascii="Calibri" w:eastAsia="DengXian" w:hAnsi="Calibri"/>
                <w:lang w:eastAsia="sv-SE"/>
              </w:rPr>
              <w:t>unenabled) : access link (IAB-DU) DL inactive, backhaul link (IAB-MT) inactive</w:t>
            </w:r>
          </w:p>
        </w:tc>
        <w:tc>
          <w:tcPr>
            <w:tcW w:w="1150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233A67F2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  <w:r>
              <w:rPr>
                <w:rFonts w:ascii="Calibri" w:eastAsia="DengXian" w:hAnsi="Calibri"/>
                <w:lang w:eastAsia="sv-SE"/>
              </w:rPr>
              <w:t>IAB: access link (IAB-DU) active, backhaul link (IAB-MT) UL inactive: IAB-DU receiving</w:t>
            </w:r>
          </w:p>
        </w:tc>
        <w:tc>
          <w:tcPr>
            <w:tcW w:w="644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12B26949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val="sv-SE" w:eastAsia="sv-SE"/>
              </w:rPr>
            </w:pPr>
            <w:r>
              <w:rPr>
                <w:rFonts w:ascii="Calibri" w:eastAsia="DengXian" w:hAnsi="Calibri"/>
                <w:lang w:val="sv-SE" w:eastAsia="sv-SE"/>
              </w:rPr>
              <w:t>NR, UL</w:t>
            </w:r>
          </w:p>
        </w:tc>
        <w:tc>
          <w:tcPr>
            <w:tcW w:w="936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14:paraId="617DDC1A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  <w:r>
              <w:rPr>
                <w:rFonts w:ascii="Calibri" w:eastAsia="DengXian" w:hAnsi="Calibri"/>
                <w:lang w:eastAsia="sv-SE"/>
              </w:rPr>
              <w:t>This is legacy scenario, could be skipped.</w:t>
            </w:r>
          </w:p>
        </w:tc>
      </w:tr>
      <w:tr w:rsidR="00286A54" w14:paraId="757F9890" w14:textId="77777777" w:rsidTr="00286A54">
        <w:trPr>
          <w:trHeight w:val="490"/>
        </w:trPr>
        <w:tc>
          <w:tcPr>
            <w:tcW w:w="673" w:type="pct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vAlign w:val="center"/>
            <w:hideMark/>
          </w:tcPr>
          <w:p w14:paraId="08601A36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val="sv-SE" w:eastAsia="sv-SE"/>
              </w:rPr>
            </w:pPr>
            <w:r>
              <w:rPr>
                <w:rFonts w:ascii="Calibri" w:eastAsia="DengXian" w:hAnsi="Calibri"/>
                <w:lang w:val="sv-SE" w:eastAsia="sv-SE"/>
              </w:rPr>
              <w:t xml:space="preserve">NR Macro -&gt; IAB </w:t>
            </w:r>
          </w:p>
        </w:tc>
        <w:tc>
          <w:tcPr>
            <w:tcW w:w="225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14:paraId="69DA4449" w14:textId="77777777" w:rsidR="00286A54" w:rsidRDefault="00286A54">
            <w:pPr>
              <w:spacing w:line="254" w:lineRule="auto"/>
              <w:jc w:val="center"/>
              <w:rPr>
                <w:rFonts w:ascii="Calibri" w:eastAsia="DengXian" w:hAnsi="Calibri"/>
                <w:lang w:eastAsia="sv-SE"/>
              </w:rPr>
            </w:pPr>
            <w:r>
              <w:rPr>
                <w:rFonts w:ascii="Calibri" w:eastAsia="DengXian" w:hAnsi="Calibri"/>
                <w:lang w:eastAsia="sv-SE"/>
              </w:rPr>
              <w:t>5</w:t>
            </w:r>
          </w:p>
        </w:tc>
        <w:tc>
          <w:tcPr>
            <w:tcW w:w="1372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</w:tcPr>
          <w:p w14:paraId="757A86F9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  <w:r>
              <w:rPr>
                <w:rFonts w:ascii="Calibri" w:eastAsia="DengXian" w:hAnsi="Calibri"/>
                <w:lang w:eastAsia="sv-SE"/>
              </w:rPr>
              <w:t xml:space="preserve">IAB: access link </w:t>
            </w:r>
            <w:proofErr w:type="gramStart"/>
            <w:r>
              <w:rPr>
                <w:rFonts w:ascii="Calibri" w:eastAsia="DengXian" w:hAnsi="Calibri"/>
                <w:lang w:eastAsia="sv-SE"/>
              </w:rPr>
              <w:t>( IAB</w:t>
            </w:r>
            <w:proofErr w:type="gramEnd"/>
            <w:r>
              <w:rPr>
                <w:rFonts w:ascii="Calibri" w:eastAsia="DengXian" w:hAnsi="Calibri"/>
                <w:lang w:eastAsia="sv-SE"/>
              </w:rPr>
              <w:t>-DU) DL inactive, backhaul link DL( IAB-MT) active: IAB-MT receiving</w:t>
            </w:r>
          </w:p>
          <w:p w14:paraId="7898F238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</w:p>
          <w:p w14:paraId="1E91409D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  <w:r>
              <w:rPr>
                <w:rFonts w:ascii="Calibri" w:eastAsia="DengXian" w:hAnsi="Calibri"/>
                <w:lang w:eastAsia="sv-SE"/>
              </w:rPr>
              <w:t xml:space="preserve">NR </w:t>
            </w:r>
            <w:proofErr w:type="gramStart"/>
            <w:r>
              <w:rPr>
                <w:rFonts w:ascii="Calibri" w:eastAsia="DengXian" w:hAnsi="Calibri"/>
                <w:lang w:eastAsia="sv-SE"/>
              </w:rPr>
              <w:t>DL  and</w:t>
            </w:r>
            <w:proofErr w:type="gramEnd"/>
            <w:r>
              <w:rPr>
                <w:rFonts w:ascii="Calibri" w:eastAsia="DengXian" w:hAnsi="Calibri"/>
                <w:lang w:eastAsia="sv-SE"/>
              </w:rPr>
              <w:t xml:space="preserve"> UL inactive:</w:t>
            </w:r>
          </w:p>
        </w:tc>
        <w:tc>
          <w:tcPr>
            <w:tcW w:w="1150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45687AA9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  <w:r>
              <w:rPr>
                <w:rFonts w:ascii="Calibri" w:eastAsia="DengXian" w:hAnsi="Calibri"/>
                <w:lang w:eastAsia="sv-SE"/>
              </w:rPr>
              <w:t>NR DL active: BS transmitting</w:t>
            </w:r>
          </w:p>
        </w:tc>
        <w:tc>
          <w:tcPr>
            <w:tcW w:w="644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54368501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  <w:r>
              <w:rPr>
                <w:rFonts w:ascii="Calibri" w:eastAsia="DengXian" w:hAnsi="Calibri"/>
                <w:lang w:eastAsia="sv-SE"/>
              </w:rPr>
              <w:t>IAB backhaul link: IAB-MT receiving</w:t>
            </w:r>
          </w:p>
        </w:tc>
        <w:tc>
          <w:tcPr>
            <w:tcW w:w="936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14:paraId="4A994883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  <w:r>
              <w:rPr>
                <w:rFonts w:ascii="Calibri" w:eastAsia="DengXian" w:hAnsi="Calibri"/>
                <w:lang w:val="sv-SE" w:eastAsia="sv-SE"/>
              </w:rPr>
              <w:t>IAB-MT ACS</w:t>
            </w:r>
          </w:p>
        </w:tc>
      </w:tr>
      <w:tr w:rsidR="00286A54" w14:paraId="68454D73" w14:textId="77777777" w:rsidTr="00286A54">
        <w:trPr>
          <w:trHeight w:val="490"/>
        </w:trPr>
        <w:tc>
          <w:tcPr>
            <w:tcW w:w="0" w:type="auto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vAlign w:val="center"/>
            <w:hideMark/>
          </w:tcPr>
          <w:p w14:paraId="3B0CB763" w14:textId="77777777" w:rsidR="00286A54" w:rsidRDefault="00286A54">
            <w:pPr>
              <w:spacing w:after="0" w:line="240" w:lineRule="auto"/>
              <w:rPr>
                <w:rFonts w:ascii="Calibri" w:eastAsia="DengXian" w:hAnsi="Calibri"/>
                <w:sz w:val="22"/>
                <w:lang w:val="sv-SE" w:eastAsia="sv-SE"/>
              </w:rPr>
            </w:pPr>
          </w:p>
        </w:tc>
        <w:tc>
          <w:tcPr>
            <w:tcW w:w="225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14:paraId="71E41A2B" w14:textId="77777777" w:rsidR="00286A54" w:rsidRDefault="00286A54">
            <w:pPr>
              <w:spacing w:line="254" w:lineRule="auto"/>
              <w:jc w:val="center"/>
              <w:rPr>
                <w:rFonts w:ascii="Calibri" w:eastAsia="DengXian" w:hAnsi="Calibri"/>
                <w:lang w:eastAsia="sv-SE"/>
              </w:rPr>
            </w:pPr>
            <w:r>
              <w:rPr>
                <w:rFonts w:ascii="Calibri" w:eastAsia="DengXian" w:hAnsi="Calibri"/>
                <w:lang w:eastAsia="sv-SE"/>
              </w:rPr>
              <w:t>6</w:t>
            </w:r>
          </w:p>
        </w:tc>
        <w:tc>
          <w:tcPr>
            <w:tcW w:w="1372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56CCCF38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  <w:r>
              <w:rPr>
                <w:rFonts w:ascii="Calibri" w:eastAsia="DengXian" w:hAnsi="Calibri"/>
                <w:lang w:eastAsia="sv-SE"/>
              </w:rPr>
              <w:t xml:space="preserve">IAB: access link (IAB-DU) inactive, backhaul link (IAB-MT) UL </w:t>
            </w:r>
            <w:proofErr w:type="gramStart"/>
            <w:r>
              <w:rPr>
                <w:rFonts w:ascii="Calibri" w:eastAsia="DengXian" w:hAnsi="Calibri"/>
                <w:lang w:eastAsia="sv-SE"/>
              </w:rPr>
              <w:t>active :</w:t>
            </w:r>
            <w:proofErr w:type="gramEnd"/>
            <w:r>
              <w:rPr>
                <w:rFonts w:ascii="Calibri" w:eastAsia="DengXian" w:hAnsi="Calibri"/>
                <w:lang w:eastAsia="sv-SE"/>
              </w:rPr>
              <w:t xml:space="preserve"> IAB-Donor receiving, IAB-MT transmitting</w:t>
            </w:r>
          </w:p>
          <w:p w14:paraId="0A366AE4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  <w:r>
              <w:rPr>
                <w:rFonts w:ascii="Calibri" w:eastAsia="DengXian" w:hAnsi="Calibri"/>
                <w:lang w:eastAsia="sv-SE"/>
              </w:rPr>
              <w:t xml:space="preserve">NR UL and </w:t>
            </w:r>
            <w:proofErr w:type="gramStart"/>
            <w:r>
              <w:rPr>
                <w:rFonts w:ascii="Calibri" w:eastAsia="DengXian" w:hAnsi="Calibri"/>
                <w:lang w:eastAsia="sv-SE"/>
              </w:rPr>
              <w:t>DL  inactive</w:t>
            </w:r>
            <w:proofErr w:type="gramEnd"/>
            <w:r>
              <w:rPr>
                <w:rFonts w:ascii="Calibri" w:eastAsia="DengXian" w:hAnsi="Calibri"/>
                <w:lang w:eastAsia="sv-SE"/>
              </w:rPr>
              <w:t xml:space="preserve">; </w:t>
            </w:r>
          </w:p>
        </w:tc>
        <w:tc>
          <w:tcPr>
            <w:tcW w:w="1150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64AF749C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  <w:r>
              <w:rPr>
                <w:rFonts w:ascii="Calibri" w:eastAsia="DengXian" w:hAnsi="Calibri"/>
                <w:lang w:eastAsia="sv-SE"/>
              </w:rPr>
              <w:t>NR UL active: UE transmitting, BS receiving</w:t>
            </w:r>
          </w:p>
        </w:tc>
        <w:tc>
          <w:tcPr>
            <w:tcW w:w="644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3A195EF6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  <w:r>
              <w:rPr>
                <w:rFonts w:ascii="Calibri" w:eastAsia="DengXian" w:hAnsi="Calibri"/>
                <w:lang w:eastAsia="sv-SE"/>
              </w:rPr>
              <w:t>IAB backhaul link: IAB-Donor receiving</w:t>
            </w:r>
          </w:p>
        </w:tc>
        <w:tc>
          <w:tcPr>
            <w:tcW w:w="936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A5CD87C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  <w:r>
              <w:rPr>
                <w:rFonts w:ascii="Calibri" w:eastAsia="DengXian" w:hAnsi="Calibri"/>
                <w:lang w:eastAsia="sv-SE"/>
              </w:rPr>
              <w:t xml:space="preserve">IAB donor </w:t>
            </w:r>
            <w:proofErr w:type="gramStart"/>
            <w:r>
              <w:rPr>
                <w:rFonts w:ascii="Calibri" w:eastAsia="DengXian" w:hAnsi="Calibri"/>
                <w:lang w:eastAsia="sv-SE"/>
              </w:rPr>
              <w:t>ACS  is</w:t>
            </w:r>
            <w:proofErr w:type="gramEnd"/>
            <w:r>
              <w:rPr>
                <w:rFonts w:ascii="Calibri" w:eastAsia="DengXian" w:hAnsi="Calibri"/>
                <w:lang w:eastAsia="sv-SE"/>
              </w:rPr>
              <w:t xml:space="preserve"> the same with normal BS, this case could be skipped.</w:t>
            </w:r>
          </w:p>
          <w:p w14:paraId="56E9F412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</w:p>
        </w:tc>
      </w:tr>
      <w:tr w:rsidR="00286A54" w14:paraId="58E91AF2" w14:textId="77777777" w:rsidTr="00286A54">
        <w:trPr>
          <w:trHeight w:val="490"/>
        </w:trPr>
        <w:tc>
          <w:tcPr>
            <w:tcW w:w="0" w:type="auto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vAlign w:val="center"/>
            <w:hideMark/>
          </w:tcPr>
          <w:p w14:paraId="45B918BB" w14:textId="77777777" w:rsidR="00286A54" w:rsidRDefault="00286A54">
            <w:pPr>
              <w:spacing w:after="0" w:line="240" w:lineRule="auto"/>
              <w:rPr>
                <w:rFonts w:ascii="Calibri" w:eastAsia="DengXian" w:hAnsi="Calibri"/>
                <w:sz w:val="22"/>
                <w:lang w:val="sv-SE" w:eastAsia="sv-SE"/>
              </w:rPr>
            </w:pPr>
          </w:p>
        </w:tc>
        <w:tc>
          <w:tcPr>
            <w:tcW w:w="225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14:paraId="68F6A39C" w14:textId="77777777" w:rsidR="00286A54" w:rsidRDefault="00286A54">
            <w:pPr>
              <w:spacing w:line="254" w:lineRule="auto"/>
              <w:jc w:val="center"/>
              <w:rPr>
                <w:rFonts w:ascii="Calibri" w:eastAsia="DengXian" w:hAnsi="Calibri"/>
                <w:lang w:eastAsia="sv-SE"/>
              </w:rPr>
            </w:pPr>
            <w:r>
              <w:rPr>
                <w:rFonts w:ascii="Calibri" w:eastAsia="DengXian" w:hAnsi="Calibri"/>
                <w:lang w:eastAsia="sv-SE"/>
              </w:rPr>
              <w:t>7</w:t>
            </w:r>
          </w:p>
        </w:tc>
        <w:tc>
          <w:tcPr>
            <w:tcW w:w="1372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</w:tcPr>
          <w:p w14:paraId="58EF842B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  <w:r>
              <w:rPr>
                <w:rFonts w:ascii="Calibri" w:eastAsia="DengXian" w:hAnsi="Calibri"/>
                <w:lang w:eastAsia="sv-SE"/>
              </w:rPr>
              <w:t>IAB: access link (IAB-DU) UL active, backhaul link (IAB-MT) inactive: IAB-DU receiving</w:t>
            </w:r>
          </w:p>
          <w:p w14:paraId="77AE400E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  <w:r>
              <w:rPr>
                <w:rFonts w:ascii="Calibri" w:eastAsia="DengXian" w:hAnsi="Calibri"/>
                <w:lang w:eastAsia="sv-SE"/>
              </w:rPr>
              <w:t xml:space="preserve"> NR UL </w:t>
            </w:r>
            <w:proofErr w:type="gramStart"/>
            <w:r>
              <w:rPr>
                <w:rFonts w:ascii="Calibri" w:eastAsia="DengXian" w:hAnsi="Calibri"/>
                <w:lang w:eastAsia="sv-SE"/>
              </w:rPr>
              <w:t>inactive;</w:t>
            </w:r>
            <w:proofErr w:type="gramEnd"/>
            <w:r>
              <w:rPr>
                <w:rFonts w:ascii="Calibri" w:eastAsia="DengXian" w:hAnsi="Calibri"/>
                <w:lang w:eastAsia="sv-SE"/>
              </w:rPr>
              <w:t xml:space="preserve"> </w:t>
            </w:r>
          </w:p>
          <w:p w14:paraId="72DC6280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</w:p>
        </w:tc>
        <w:tc>
          <w:tcPr>
            <w:tcW w:w="1150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</w:tcPr>
          <w:p w14:paraId="0BBBCDCD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  <w:r>
              <w:rPr>
                <w:rFonts w:ascii="Calibri" w:eastAsia="DengXian" w:hAnsi="Calibri"/>
                <w:lang w:eastAsia="sv-SE"/>
              </w:rPr>
              <w:t>NR UL active: UE transmitting, BS receiving</w:t>
            </w:r>
          </w:p>
          <w:p w14:paraId="3ED2EA58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</w:p>
        </w:tc>
        <w:tc>
          <w:tcPr>
            <w:tcW w:w="644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3C7506A3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  <w:r>
              <w:rPr>
                <w:rFonts w:ascii="Calibri" w:eastAsia="DengXian" w:hAnsi="Calibri"/>
                <w:lang w:eastAsia="sv-SE"/>
              </w:rPr>
              <w:t xml:space="preserve">IAB access </w:t>
            </w:r>
            <w:proofErr w:type="gramStart"/>
            <w:r>
              <w:rPr>
                <w:rFonts w:ascii="Calibri" w:eastAsia="DengXian" w:hAnsi="Calibri"/>
                <w:lang w:eastAsia="sv-SE"/>
              </w:rPr>
              <w:t>link :</w:t>
            </w:r>
            <w:proofErr w:type="gramEnd"/>
            <w:r>
              <w:rPr>
                <w:rFonts w:ascii="Calibri" w:eastAsia="DengXian" w:hAnsi="Calibri"/>
                <w:lang w:eastAsia="sv-SE"/>
              </w:rPr>
              <w:t xml:space="preserve"> IAB-DU receiving</w:t>
            </w:r>
          </w:p>
        </w:tc>
        <w:tc>
          <w:tcPr>
            <w:tcW w:w="936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14:paraId="708C7ECB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  <w:r>
              <w:rPr>
                <w:rFonts w:ascii="Calibri" w:eastAsia="DengXian" w:hAnsi="Calibri"/>
                <w:lang w:eastAsia="sv-SE"/>
              </w:rPr>
              <w:t>IAB-DU ACS</w:t>
            </w:r>
          </w:p>
        </w:tc>
      </w:tr>
      <w:tr w:rsidR="00286A54" w14:paraId="3618695B" w14:textId="77777777" w:rsidTr="00286A54">
        <w:trPr>
          <w:trHeight w:val="490"/>
        </w:trPr>
        <w:tc>
          <w:tcPr>
            <w:tcW w:w="673" w:type="pct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01BB90A8" w14:textId="77777777" w:rsidR="00286A54" w:rsidRDefault="00286A54">
            <w:pPr>
              <w:spacing w:after="0"/>
              <w:rPr>
                <w:rFonts w:ascii="Calibri" w:eastAsia="DengXian" w:hAnsi="Calibri"/>
                <w:lang w:eastAsia="sv-SE"/>
              </w:rPr>
            </w:pPr>
          </w:p>
        </w:tc>
        <w:tc>
          <w:tcPr>
            <w:tcW w:w="225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14:paraId="13A92F3C" w14:textId="77777777" w:rsidR="00286A54" w:rsidRDefault="00286A54">
            <w:pPr>
              <w:spacing w:line="254" w:lineRule="auto"/>
              <w:jc w:val="center"/>
              <w:rPr>
                <w:rFonts w:ascii="Calibri" w:eastAsia="DengXian" w:hAnsi="Calibri"/>
                <w:lang w:eastAsia="sv-SE"/>
              </w:rPr>
            </w:pPr>
            <w:r>
              <w:rPr>
                <w:rFonts w:ascii="Calibri" w:eastAsia="DengXian" w:hAnsi="Calibri"/>
                <w:lang w:eastAsia="sv-SE"/>
              </w:rPr>
              <w:t>8</w:t>
            </w:r>
          </w:p>
        </w:tc>
        <w:tc>
          <w:tcPr>
            <w:tcW w:w="1372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</w:tcPr>
          <w:p w14:paraId="5C85DF19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  <w:r>
              <w:rPr>
                <w:rFonts w:ascii="Calibri" w:eastAsia="DengXian" w:hAnsi="Calibri"/>
                <w:lang w:eastAsia="sv-SE"/>
              </w:rPr>
              <w:t xml:space="preserve">IAB: access link </w:t>
            </w:r>
            <w:proofErr w:type="gramStart"/>
            <w:r>
              <w:rPr>
                <w:rFonts w:ascii="Calibri" w:eastAsia="DengXian" w:hAnsi="Calibri"/>
                <w:lang w:eastAsia="sv-SE"/>
              </w:rPr>
              <w:t>( IAB</w:t>
            </w:r>
            <w:proofErr w:type="gramEnd"/>
            <w:r>
              <w:rPr>
                <w:rFonts w:ascii="Calibri" w:eastAsia="DengXian" w:hAnsi="Calibri"/>
                <w:lang w:eastAsia="sv-SE"/>
              </w:rPr>
              <w:t>-DU) DL active, backhaul link DL( IAB-MT) inactive: IAB-DU transmitting, UE receiving</w:t>
            </w:r>
          </w:p>
          <w:p w14:paraId="16CCABCF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</w:p>
          <w:p w14:paraId="44E7E2FD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  <w:r>
              <w:rPr>
                <w:rFonts w:ascii="Calibri" w:eastAsia="DengXian" w:hAnsi="Calibri"/>
                <w:lang w:eastAsia="sv-SE"/>
              </w:rPr>
              <w:t xml:space="preserve">NR </w:t>
            </w:r>
            <w:proofErr w:type="gramStart"/>
            <w:r>
              <w:rPr>
                <w:rFonts w:ascii="Calibri" w:eastAsia="DengXian" w:hAnsi="Calibri"/>
                <w:lang w:eastAsia="sv-SE"/>
              </w:rPr>
              <w:t>DL  and</w:t>
            </w:r>
            <w:proofErr w:type="gramEnd"/>
            <w:r>
              <w:rPr>
                <w:rFonts w:ascii="Calibri" w:eastAsia="DengXian" w:hAnsi="Calibri"/>
                <w:lang w:eastAsia="sv-SE"/>
              </w:rPr>
              <w:t xml:space="preserve"> UL inactive:</w:t>
            </w:r>
          </w:p>
          <w:p w14:paraId="0EFBE5FF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</w:p>
        </w:tc>
        <w:tc>
          <w:tcPr>
            <w:tcW w:w="1150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</w:tcPr>
          <w:p w14:paraId="70B31231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  <w:r>
              <w:rPr>
                <w:rFonts w:ascii="Calibri" w:eastAsia="DengXian" w:hAnsi="Calibri"/>
                <w:lang w:eastAsia="sv-SE"/>
              </w:rPr>
              <w:t>NR DL active: BS transmitting</w:t>
            </w:r>
          </w:p>
          <w:p w14:paraId="20CDE899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</w:p>
        </w:tc>
        <w:tc>
          <w:tcPr>
            <w:tcW w:w="644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166106BB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  <w:r>
              <w:rPr>
                <w:rFonts w:ascii="Calibri" w:eastAsia="DengXian" w:hAnsi="Calibri"/>
                <w:lang w:eastAsia="sv-SE"/>
              </w:rPr>
              <w:t>IAB access link: UE receiving</w:t>
            </w:r>
          </w:p>
        </w:tc>
        <w:tc>
          <w:tcPr>
            <w:tcW w:w="936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14:paraId="234C02E9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  <w:r>
              <w:rPr>
                <w:rFonts w:ascii="Calibri" w:eastAsia="DengXian" w:hAnsi="Calibri"/>
                <w:lang w:eastAsia="sv-SE"/>
              </w:rPr>
              <w:t>UE and BS are legacy, this scenario can be skipped.</w:t>
            </w:r>
          </w:p>
        </w:tc>
      </w:tr>
    </w:tbl>
    <w:p w14:paraId="618E9130" w14:textId="77777777" w:rsidR="00286A54" w:rsidRDefault="00286A54" w:rsidP="00286A54">
      <w:pPr>
        <w:pStyle w:val="TOC4"/>
        <w:rPr>
          <w:rFonts w:asciiTheme="minorHAnsi" w:eastAsia="Times New Roman" w:hAnsiTheme="minorHAnsi"/>
          <w:sz w:val="22"/>
          <w:lang w:eastAsia="ja-JP"/>
        </w:rPr>
      </w:pPr>
    </w:p>
    <w:p w14:paraId="3564C311" w14:textId="77777777" w:rsidR="00286A54" w:rsidRDefault="00286A54" w:rsidP="00286A54">
      <w:pPr>
        <w:pStyle w:val="B2"/>
        <w:ind w:left="720" w:firstLine="720"/>
        <w:rPr>
          <w:lang w:eastAsia="ja-JP"/>
        </w:rPr>
      </w:pPr>
      <w:r>
        <w:rPr>
          <w:lang w:eastAsia="ja-JP"/>
        </w:rPr>
        <w:t xml:space="preserve"> Table 2:  Scenarios simulated for layout 1&amp;2 between IAB &lt;-&gt; IAB</w:t>
      </w: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92"/>
        <w:gridCol w:w="406"/>
        <w:gridCol w:w="2308"/>
        <w:gridCol w:w="2396"/>
        <w:gridCol w:w="1768"/>
        <w:gridCol w:w="1437"/>
      </w:tblGrid>
      <w:tr w:rsidR="00286A54" w14:paraId="23BB3BF6" w14:textId="77777777" w:rsidTr="00286A54">
        <w:trPr>
          <w:trHeight w:val="5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759C3AD7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val="sv-SE" w:eastAsia="sv-SE"/>
              </w:rPr>
            </w:pPr>
            <w:r>
              <w:rPr>
                <w:rFonts w:ascii="Calibri" w:eastAsia="DengXian" w:hAnsi="Calibri"/>
                <w:b/>
                <w:bCs/>
                <w:lang w:val="sv-SE" w:eastAsia="sv-SE"/>
              </w:rPr>
              <w:t>Deployment Scenario</w:t>
            </w:r>
          </w:p>
          <w:p w14:paraId="058A37E1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val="sv-SE" w:eastAsia="sv-SE"/>
              </w:rPr>
            </w:pPr>
            <w:r>
              <w:rPr>
                <w:rFonts w:ascii="Calibri" w:eastAsia="DengXian" w:hAnsi="Calibri"/>
                <w:b/>
                <w:bCs/>
                <w:lang w:val="sv-SE" w:eastAsia="sv-SE"/>
              </w:rPr>
              <w:t>(Aggressor-&gt;Victim)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8E6A43" w14:textId="77777777" w:rsidR="00286A54" w:rsidRDefault="00286A54">
            <w:pPr>
              <w:spacing w:line="254" w:lineRule="auto"/>
              <w:jc w:val="center"/>
              <w:rPr>
                <w:rFonts w:ascii="Calibri" w:eastAsia="DengXian" w:hAnsi="Calibri"/>
                <w:lang w:val="sv-SE" w:eastAsia="sv-SE"/>
              </w:rPr>
            </w:pPr>
            <w:r>
              <w:rPr>
                <w:rFonts w:ascii="Calibri" w:eastAsia="DengXian" w:hAnsi="Calibri"/>
                <w:b/>
                <w:bCs/>
                <w:lang w:val="sv-SE" w:eastAsia="sv-SE"/>
              </w:rPr>
              <w:t>Case</w:t>
            </w:r>
          </w:p>
          <w:p w14:paraId="4C8F56AB" w14:textId="77777777" w:rsidR="00286A54" w:rsidRDefault="00286A54">
            <w:pPr>
              <w:spacing w:line="254" w:lineRule="auto"/>
              <w:jc w:val="center"/>
              <w:rPr>
                <w:rFonts w:ascii="Calibri" w:eastAsia="DengXian" w:hAnsi="Calibri"/>
                <w:b/>
                <w:bCs/>
                <w:lang w:val="sv-SE" w:eastAsia="sv-SE"/>
              </w:rPr>
            </w:pPr>
            <w:r>
              <w:rPr>
                <w:rFonts w:ascii="Calibri" w:eastAsia="DengXian" w:hAnsi="Calibri"/>
                <w:b/>
                <w:bCs/>
                <w:lang w:val="sv-SE" w:eastAsia="sv-SE"/>
              </w:rPr>
              <w:t>No.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31FCBF28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val="sv-SE" w:eastAsia="sv-SE"/>
              </w:rPr>
            </w:pPr>
            <w:r>
              <w:rPr>
                <w:rFonts w:ascii="Calibri" w:eastAsia="DengXian" w:hAnsi="Calibri"/>
                <w:b/>
                <w:bCs/>
                <w:lang w:val="sv-SE" w:eastAsia="sv-SE"/>
              </w:rPr>
              <w:t xml:space="preserve">Baseline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483E1DA0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  <w:r>
              <w:rPr>
                <w:rFonts w:ascii="Calibri" w:eastAsia="DengXian" w:hAnsi="Calibri"/>
                <w:b/>
                <w:bCs/>
                <w:lang w:eastAsia="sv-SE"/>
              </w:rPr>
              <w:t xml:space="preserve">Aggressor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12035087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val="sv-SE" w:eastAsia="sv-SE"/>
              </w:rPr>
            </w:pPr>
            <w:r>
              <w:rPr>
                <w:rFonts w:ascii="Calibri" w:eastAsia="DengXian" w:hAnsi="Calibri"/>
                <w:b/>
                <w:bCs/>
                <w:lang w:val="sv-SE" w:eastAsia="sv-SE"/>
              </w:rPr>
              <w:t xml:space="preserve">Victim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3516DF" w14:textId="77777777" w:rsidR="00286A54" w:rsidRDefault="00286A54">
            <w:pPr>
              <w:spacing w:line="254" w:lineRule="auto"/>
              <w:rPr>
                <w:rFonts w:ascii="Calibri" w:eastAsia="DengXian" w:hAnsi="Calibri"/>
                <w:b/>
                <w:bCs/>
                <w:lang w:val="sv-SE" w:eastAsia="sv-SE"/>
              </w:rPr>
            </w:pPr>
            <w:r>
              <w:rPr>
                <w:rFonts w:ascii="Calibri" w:eastAsia="DengXian" w:hAnsi="Calibri"/>
                <w:b/>
                <w:bCs/>
                <w:lang w:val="sv-SE" w:eastAsia="sv-SE"/>
              </w:rPr>
              <w:t>Comemnts (related RF parameter)</w:t>
            </w:r>
          </w:p>
        </w:tc>
      </w:tr>
      <w:tr w:rsidR="00286A54" w14:paraId="16C2D4BC" w14:textId="77777777" w:rsidTr="00286A54">
        <w:trPr>
          <w:trHeight w:val="490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F802C3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val="sv-SE" w:eastAsia="sv-SE"/>
              </w:rPr>
            </w:pPr>
            <w:r>
              <w:rPr>
                <w:rFonts w:ascii="Calibri" w:eastAsia="DengXian" w:hAnsi="Calibri"/>
                <w:lang w:val="sv-SE" w:eastAsia="sv-SE"/>
              </w:rPr>
              <w:t>IAB Agressor -&gt; IAB Victim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58EEE19" w14:textId="77777777" w:rsidR="00286A54" w:rsidRDefault="00286A54">
            <w:pPr>
              <w:spacing w:line="254" w:lineRule="auto"/>
              <w:jc w:val="center"/>
              <w:rPr>
                <w:rFonts w:ascii="Calibri" w:eastAsia="DengXian" w:hAnsi="Calibri"/>
                <w:lang w:eastAsia="sv-SE"/>
              </w:rPr>
            </w:pPr>
            <w:r>
              <w:rPr>
                <w:rFonts w:ascii="Calibri" w:eastAsia="DengXian" w:hAnsi="Calibri"/>
                <w:lang w:eastAsia="sv-SE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77510733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  <w:r>
              <w:rPr>
                <w:rFonts w:ascii="Calibri" w:eastAsia="DengXian" w:hAnsi="Calibri"/>
                <w:lang w:eastAsia="sv-SE"/>
              </w:rPr>
              <w:t xml:space="preserve">IAB victim </w:t>
            </w:r>
            <w:proofErr w:type="gramStart"/>
            <w:r>
              <w:rPr>
                <w:rFonts w:ascii="Calibri" w:eastAsia="DengXian" w:hAnsi="Calibri"/>
                <w:lang w:eastAsia="sv-SE"/>
              </w:rPr>
              <w:t>DL,backhaul</w:t>
            </w:r>
            <w:proofErr w:type="gramEnd"/>
            <w:r>
              <w:rPr>
                <w:rFonts w:ascii="Calibri" w:eastAsia="DengXian" w:hAnsi="Calibri"/>
                <w:lang w:eastAsia="sv-SE"/>
              </w:rPr>
              <w:t xml:space="preserve"> link active: IAB donor transmitting</w:t>
            </w:r>
            <w:r>
              <w:rPr>
                <w:rFonts w:ascii="Calibri" w:eastAsia="DengXian" w:hAnsi="Calibri"/>
              </w:rPr>
              <w:t xml:space="preserve">, </w:t>
            </w:r>
            <w:r>
              <w:rPr>
                <w:rFonts w:ascii="Calibri" w:eastAsia="DengXian" w:hAnsi="Calibri"/>
                <w:lang w:eastAsia="sv-SE"/>
              </w:rPr>
              <w:t>IAB-MT receiving</w:t>
            </w:r>
          </w:p>
          <w:p w14:paraId="7A8E32B9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  <w:r>
              <w:rPr>
                <w:rFonts w:ascii="Calibri" w:eastAsia="DengXian" w:hAnsi="Calibri"/>
                <w:lang w:eastAsia="sv-SE"/>
              </w:rPr>
              <w:lastRenderedPageBreak/>
              <w:t xml:space="preserve">IAB aggressor (unenabled): access link </w:t>
            </w:r>
            <w:proofErr w:type="gramStart"/>
            <w:r>
              <w:rPr>
                <w:rFonts w:ascii="Calibri" w:eastAsia="DengXian" w:hAnsi="Calibri"/>
                <w:lang w:eastAsia="sv-SE"/>
              </w:rPr>
              <w:t>( IAB</w:t>
            </w:r>
            <w:proofErr w:type="gramEnd"/>
            <w:r>
              <w:rPr>
                <w:rFonts w:ascii="Calibri" w:eastAsia="DengXian" w:hAnsi="Calibri"/>
                <w:lang w:eastAsia="sv-SE"/>
              </w:rPr>
              <w:t>-DU) DL inactive, backhaul link ( IAB-MT) inactive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</w:tcPr>
          <w:p w14:paraId="3C3CE582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</w:p>
          <w:p w14:paraId="073D8146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  <w:r>
              <w:rPr>
                <w:rFonts w:ascii="Calibri" w:eastAsia="DengXian" w:hAnsi="Calibri"/>
                <w:lang w:eastAsia="sv-SE"/>
              </w:rPr>
              <w:t xml:space="preserve">IAB Agressor: access link (IAB-DU) inactive, backhaul link </w:t>
            </w:r>
            <w:proofErr w:type="gramStart"/>
            <w:r>
              <w:rPr>
                <w:rFonts w:ascii="Calibri" w:eastAsia="DengXian" w:hAnsi="Calibri"/>
                <w:lang w:eastAsia="sv-SE"/>
              </w:rPr>
              <w:t>( IAB</w:t>
            </w:r>
            <w:proofErr w:type="gramEnd"/>
            <w:r>
              <w:rPr>
                <w:rFonts w:ascii="Calibri" w:eastAsia="DengXian" w:hAnsi="Calibri"/>
                <w:lang w:eastAsia="sv-SE"/>
              </w:rPr>
              <w:t>-MT) DL active : IAB donor transmitting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5D95141F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  <w:r>
              <w:rPr>
                <w:rFonts w:ascii="Calibri" w:eastAsia="DengXian" w:hAnsi="Calibri"/>
                <w:lang w:eastAsia="sv-SE"/>
              </w:rPr>
              <w:t>IAB victim DL: IAB-MT receiving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31E438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  <w:r>
              <w:rPr>
                <w:rFonts w:ascii="Calibri" w:eastAsia="DengXian" w:hAnsi="Calibri"/>
                <w:lang w:eastAsia="sv-SE"/>
              </w:rPr>
              <w:t>IAB donor ACLR is the same with normal BS</w:t>
            </w:r>
          </w:p>
          <w:p w14:paraId="040D14F6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  <w:r>
              <w:rPr>
                <w:rFonts w:ascii="Calibri" w:eastAsia="DengXian" w:hAnsi="Calibri"/>
                <w:lang w:eastAsia="sv-SE"/>
              </w:rPr>
              <w:t>IAB-MT ACS</w:t>
            </w:r>
          </w:p>
          <w:p w14:paraId="04E9C1F7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</w:p>
        </w:tc>
      </w:tr>
      <w:tr w:rsidR="00286A54" w14:paraId="3026D2C8" w14:textId="77777777" w:rsidTr="00286A54">
        <w:trPr>
          <w:trHeight w:val="49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67E605" w14:textId="77777777" w:rsidR="00286A54" w:rsidRDefault="00286A54">
            <w:pPr>
              <w:spacing w:after="0" w:line="240" w:lineRule="auto"/>
              <w:rPr>
                <w:rFonts w:ascii="Calibri" w:eastAsia="DengXian" w:hAnsi="Calibri"/>
                <w:sz w:val="22"/>
                <w:lang w:val="sv-SE" w:eastAsia="sv-SE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BF030B8" w14:textId="77777777" w:rsidR="00286A54" w:rsidRDefault="00286A54">
            <w:pPr>
              <w:spacing w:line="254" w:lineRule="auto"/>
              <w:jc w:val="center"/>
              <w:rPr>
                <w:rFonts w:ascii="Calibri" w:eastAsia="DengXian" w:hAnsi="Calibri"/>
                <w:lang w:eastAsia="sv-SE"/>
              </w:rPr>
            </w:pPr>
            <w:r>
              <w:rPr>
                <w:rFonts w:ascii="Calibri" w:eastAsia="DengXian" w:hAnsi="Calibri"/>
                <w:lang w:eastAsia="sv-SE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7889FA0D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  <w:r>
              <w:rPr>
                <w:rFonts w:ascii="Calibri" w:eastAsia="DengXian" w:hAnsi="Calibri"/>
                <w:lang w:eastAsia="sv-SE"/>
              </w:rPr>
              <w:t xml:space="preserve">IAB Victim DL </w:t>
            </w:r>
            <w:proofErr w:type="gramStart"/>
            <w:r>
              <w:rPr>
                <w:rFonts w:ascii="Calibri" w:eastAsia="DengXian" w:hAnsi="Calibri"/>
                <w:lang w:eastAsia="sv-SE"/>
              </w:rPr>
              <w:t>active;</w:t>
            </w:r>
            <w:proofErr w:type="gramEnd"/>
          </w:p>
          <w:p w14:paraId="604AC4A0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  <w:r>
              <w:rPr>
                <w:rFonts w:ascii="Calibri" w:eastAsia="DengXian" w:hAnsi="Calibri"/>
                <w:lang w:eastAsia="sv-SE"/>
              </w:rPr>
              <w:t xml:space="preserve">IAB agressor (unenabled): access link </w:t>
            </w:r>
            <w:proofErr w:type="gramStart"/>
            <w:r>
              <w:rPr>
                <w:rFonts w:ascii="Calibri" w:eastAsia="DengXian" w:hAnsi="Calibri"/>
                <w:lang w:eastAsia="sv-SE"/>
              </w:rPr>
              <w:t>( IAB</w:t>
            </w:r>
            <w:proofErr w:type="gramEnd"/>
            <w:r>
              <w:rPr>
                <w:rFonts w:ascii="Calibri" w:eastAsia="DengXian" w:hAnsi="Calibri"/>
                <w:lang w:eastAsia="sv-SE"/>
              </w:rPr>
              <w:t>-DU) DL inactive, backhaul link ( IAB-MT) inactive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2F660A5D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  <w:r>
              <w:rPr>
                <w:rFonts w:ascii="Calibri" w:eastAsia="DengXian" w:hAnsi="Calibri"/>
                <w:lang w:eastAsia="sv-SE"/>
              </w:rPr>
              <w:t>IAB: access link (IAB-DU) active: IAB-DU transmitting</w:t>
            </w:r>
          </w:p>
          <w:p w14:paraId="78A85C43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  <w:r>
              <w:rPr>
                <w:rFonts w:ascii="Calibri" w:eastAsia="DengXian" w:hAnsi="Calibri"/>
                <w:lang w:eastAsia="sv-SE"/>
              </w:rPr>
              <w:t xml:space="preserve">backhaul link </w:t>
            </w:r>
            <w:proofErr w:type="gramStart"/>
            <w:r>
              <w:rPr>
                <w:rFonts w:ascii="Calibri" w:eastAsia="DengXian" w:hAnsi="Calibri"/>
                <w:lang w:eastAsia="sv-SE"/>
              </w:rPr>
              <w:t>( IAB</w:t>
            </w:r>
            <w:proofErr w:type="gramEnd"/>
            <w:r>
              <w:rPr>
                <w:rFonts w:ascii="Calibri" w:eastAsia="DengXian" w:hAnsi="Calibri"/>
                <w:lang w:eastAsia="sv-SE"/>
              </w:rPr>
              <w:t>-MT) inactive : IAB-DU transmitting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</w:tcPr>
          <w:p w14:paraId="6DE8654E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  <w:r>
              <w:rPr>
                <w:rFonts w:ascii="Calibri" w:eastAsia="DengXian" w:hAnsi="Calibri"/>
                <w:lang w:eastAsia="sv-SE"/>
              </w:rPr>
              <w:t>IAB victim DL: IAB-MT receiving</w:t>
            </w:r>
          </w:p>
          <w:p w14:paraId="078361FE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652FC1A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val="sv-SE" w:eastAsia="sv-SE"/>
              </w:rPr>
            </w:pPr>
            <w:r>
              <w:rPr>
                <w:rFonts w:ascii="Calibri" w:eastAsia="DengXian" w:hAnsi="Calibri"/>
                <w:lang w:val="sv-SE" w:eastAsia="sv-SE"/>
              </w:rPr>
              <w:t>IAB-DU Tx power</w:t>
            </w:r>
          </w:p>
          <w:p w14:paraId="489E5F71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val="sv-SE" w:eastAsia="sv-SE"/>
              </w:rPr>
            </w:pPr>
            <w:r>
              <w:rPr>
                <w:rFonts w:ascii="Calibri" w:eastAsia="DengXian" w:hAnsi="Calibri"/>
                <w:lang w:val="sv-SE" w:eastAsia="sv-SE"/>
              </w:rPr>
              <w:t>IAB-DU ACLR</w:t>
            </w:r>
          </w:p>
          <w:p w14:paraId="7EC03E66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val="sv-SE" w:eastAsia="sv-SE"/>
              </w:rPr>
            </w:pPr>
            <w:r>
              <w:rPr>
                <w:rFonts w:ascii="Calibri" w:eastAsia="DengXian" w:hAnsi="Calibri"/>
                <w:lang w:val="sv-SE" w:eastAsia="sv-SE"/>
              </w:rPr>
              <w:t>IAB-MT ACS</w:t>
            </w:r>
          </w:p>
        </w:tc>
      </w:tr>
      <w:tr w:rsidR="00286A54" w14:paraId="5C92281E" w14:textId="77777777" w:rsidTr="00286A54">
        <w:trPr>
          <w:trHeight w:val="49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7102B8" w14:textId="77777777" w:rsidR="00286A54" w:rsidRDefault="00286A54">
            <w:pPr>
              <w:spacing w:after="0" w:line="240" w:lineRule="auto"/>
              <w:rPr>
                <w:rFonts w:ascii="Calibri" w:eastAsia="DengXian" w:hAnsi="Calibri"/>
                <w:sz w:val="22"/>
                <w:lang w:val="sv-SE" w:eastAsia="sv-SE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682324B" w14:textId="77777777" w:rsidR="00286A54" w:rsidRDefault="00286A54">
            <w:pPr>
              <w:spacing w:line="254" w:lineRule="auto"/>
              <w:jc w:val="center"/>
              <w:rPr>
                <w:rFonts w:ascii="Calibri" w:eastAsia="DengXian" w:hAnsi="Calibri"/>
                <w:lang w:eastAsia="sv-SE"/>
              </w:rPr>
            </w:pPr>
            <w:r>
              <w:rPr>
                <w:rFonts w:ascii="Calibri" w:eastAsia="DengXian" w:hAnsi="Calibri"/>
                <w:lang w:eastAsia="sv-SE"/>
              </w:rPr>
              <w:t>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7BD06532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  <w:r>
              <w:rPr>
                <w:rFonts w:ascii="Calibri" w:eastAsia="DengXian" w:hAnsi="Calibri"/>
                <w:lang w:eastAsia="sv-SE"/>
              </w:rPr>
              <w:t>IAB victim UL: IAB-MT transmitting, IAB-Donor receiving</w:t>
            </w:r>
          </w:p>
          <w:p w14:paraId="04C73C68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  <w:r>
              <w:rPr>
                <w:rFonts w:ascii="Calibri" w:eastAsia="DengXian" w:hAnsi="Calibri"/>
                <w:lang w:eastAsia="sv-SE"/>
              </w:rPr>
              <w:t xml:space="preserve"> IAB agressor (unenabled</w:t>
            </w:r>
            <w:proofErr w:type="gramStart"/>
            <w:r>
              <w:rPr>
                <w:rFonts w:ascii="Calibri" w:eastAsia="DengXian" w:hAnsi="Calibri"/>
                <w:lang w:eastAsia="sv-SE"/>
              </w:rPr>
              <w:t>) :</w:t>
            </w:r>
            <w:proofErr w:type="gramEnd"/>
            <w:r>
              <w:rPr>
                <w:rFonts w:ascii="Calibri" w:eastAsia="DengXian" w:hAnsi="Calibri"/>
                <w:lang w:eastAsia="sv-SE"/>
              </w:rPr>
              <w:t xml:space="preserve"> access link (IAB-DU) DL inactive, backhaul link (IAB-MT) inactive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6A652464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  <w:r>
              <w:rPr>
                <w:rFonts w:ascii="Calibri" w:eastAsia="DengXian" w:hAnsi="Calibri"/>
                <w:lang w:eastAsia="sv-SE"/>
              </w:rPr>
              <w:t>IAB: access link (IAB-DU) inactive, backhaul link (IAB-MT) UL active: IAB-MT transmitting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4531FC86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  <w:r>
              <w:rPr>
                <w:rFonts w:ascii="Calibri" w:eastAsia="DengXian" w:hAnsi="Calibri"/>
                <w:lang w:eastAsia="sv-SE"/>
              </w:rPr>
              <w:t>IAB victim UL: IAB-MT transmitting, IAB-Donor receiving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9B1859C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  <w:r>
              <w:rPr>
                <w:rFonts w:ascii="Calibri" w:eastAsia="DengXian" w:hAnsi="Calibri"/>
                <w:lang w:eastAsia="sv-SE"/>
              </w:rPr>
              <w:t>IAB-MT Tx power</w:t>
            </w:r>
          </w:p>
          <w:p w14:paraId="1A5F7EDA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  <w:r>
              <w:rPr>
                <w:rFonts w:ascii="Calibri" w:eastAsia="DengXian" w:hAnsi="Calibri"/>
                <w:lang w:eastAsia="sv-SE"/>
              </w:rPr>
              <w:t>IAB-MT ACLR</w:t>
            </w:r>
          </w:p>
        </w:tc>
      </w:tr>
      <w:tr w:rsidR="00286A54" w14:paraId="4811EB02" w14:textId="77777777" w:rsidTr="00286A54">
        <w:trPr>
          <w:trHeight w:val="49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19E634" w14:textId="77777777" w:rsidR="00286A54" w:rsidRDefault="00286A54">
            <w:pPr>
              <w:spacing w:after="0" w:line="240" w:lineRule="auto"/>
              <w:rPr>
                <w:rFonts w:ascii="Calibri" w:eastAsia="DengXian" w:hAnsi="Calibri"/>
                <w:sz w:val="22"/>
                <w:lang w:val="sv-SE" w:eastAsia="sv-SE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2A15AE3" w14:textId="77777777" w:rsidR="00286A54" w:rsidRDefault="00286A54">
            <w:pPr>
              <w:spacing w:line="254" w:lineRule="auto"/>
              <w:jc w:val="center"/>
              <w:rPr>
                <w:rFonts w:ascii="Calibri" w:eastAsia="DengXian" w:hAnsi="Calibri"/>
                <w:lang w:eastAsia="sv-SE"/>
              </w:rPr>
            </w:pPr>
            <w:r>
              <w:rPr>
                <w:rFonts w:ascii="Calibri" w:eastAsia="DengXian" w:hAnsi="Calibri"/>
                <w:lang w:eastAsia="sv-SE"/>
              </w:rPr>
              <w:t>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3328BC5D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  <w:r>
              <w:rPr>
                <w:rFonts w:ascii="Calibri" w:eastAsia="DengXian" w:hAnsi="Calibri"/>
                <w:lang w:eastAsia="sv-SE"/>
              </w:rPr>
              <w:t>IAB victim UL: IAB-DU receiving</w:t>
            </w:r>
          </w:p>
          <w:p w14:paraId="3CCF060A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  <w:r>
              <w:rPr>
                <w:rFonts w:ascii="Calibri" w:eastAsia="DengXian" w:hAnsi="Calibri"/>
                <w:lang w:eastAsia="sv-SE"/>
              </w:rPr>
              <w:t xml:space="preserve"> IAB agressor (unenabled</w:t>
            </w:r>
            <w:proofErr w:type="gramStart"/>
            <w:r>
              <w:rPr>
                <w:rFonts w:ascii="Calibri" w:eastAsia="DengXian" w:hAnsi="Calibri"/>
                <w:lang w:eastAsia="sv-SE"/>
              </w:rPr>
              <w:t>) :</w:t>
            </w:r>
            <w:proofErr w:type="gramEnd"/>
            <w:r>
              <w:rPr>
                <w:rFonts w:ascii="Calibri" w:eastAsia="DengXian" w:hAnsi="Calibri"/>
                <w:lang w:eastAsia="sv-SE"/>
              </w:rPr>
              <w:t xml:space="preserve"> access link (IAB-DU) DL inactive, backhaul link (IAB-MT) inactive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6D2787B2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  <w:r>
              <w:rPr>
                <w:rFonts w:ascii="Calibri" w:eastAsia="DengXian" w:hAnsi="Calibri"/>
                <w:lang w:eastAsia="sv-SE"/>
              </w:rPr>
              <w:t xml:space="preserve">IAB: access link (IAB-DU) inactive, backhaul link (IAB-MT) UL active: IAB-MT transmitting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</w:tcPr>
          <w:p w14:paraId="208D9E3E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  <w:r>
              <w:rPr>
                <w:rFonts w:ascii="Calibri" w:eastAsia="DengXian" w:hAnsi="Calibri"/>
                <w:lang w:eastAsia="sv-SE"/>
              </w:rPr>
              <w:t>IAB victim UL: IAB-DU receiving</w:t>
            </w:r>
          </w:p>
          <w:p w14:paraId="73FC7D9F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6C3971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  <w:r>
              <w:rPr>
                <w:rFonts w:ascii="Calibri" w:eastAsia="DengXian" w:hAnsi="Calibri"/>
                <w:lang w:eastAsia="sv-SE"/>
              </w:rPr>
              <w:t>IAB-MT Tx power</w:t>
            </w:r>
          </w:p>
          <w:p w14:paraId="2AE4877B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  <w:r>
              <w:rPr>
                <w:rFonts w:ascii="Calibri" w:eastAsia="DengXian" w:hAnsi="Calibri"/>
                <w:lang w:eastAsia="sv-SE"/>
              </w:rPr>
              <w:t>IAB-MT ACLR</w:t>
            </w:r>
          </w:p>
          <w:p w14:paraId="1C2E54F3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</w:p>
          <w:p w14:paraId="387DAAE5" w14:textId="77777777" w:rsidR="00286A54" w:rsidRDefault="00286A54">
            <w:pPr>
              <w:spacing w:line="254" w:lineRule="auto"/>
              <w:rPr>
                <w:rFonts w:ascii="Calibri" w:eastAsia="DengXian" w:hAnsi="Calibri"/>
                <w:lang w:eastAsia="sv-SE"/>
              </w:rPr>
            </w:pPr>
            <w:r>
              <w:rPr>
                <w:rFonts w:ascii="Calibri" w:eastAsia="DengXian" w:hAnsi="Calibri"/>
                <w:lang w:eastAsia="sv-SE"/>
              </w:rPr>
              <w:t>IAB-DU ACS</w:t>
            </w:r>
          </w:p>
        </w:tc>
      </w:tr>
    </w:tbl>
    <w:p w14:paraId="72718111" w14:textId="77777777" w:rsidR="00286A54" w:rsidRDefault="00286A54" w:rsidP="00286A54">
      <w:pPr>
        <w:rPr>
          <w:rFonts w:asciiTheme="minorHAnsi" w:hAnsiTheme="minorHAnsi"/>
          <w:sz w:val="22"/>
          <w:lang w:val="en-GB"/>
        </w:rPr>
      </w:pPr>
    </w:p>
    <w:p w14:paraId="69A52B50" w14:textId="77777777" w:rsidR="0060543D" w:rsidRDefault="0060543D" w:rsidP="000040DC">
      <w:pPr>
        <w:ind w:right="-22"/>
        <w:rPr>
          <w:highlight w:val="yellow"/>
        </w:rPr>
      </w:pPr>
    </w:p>
    <w:p w14:paraId="6D7BF3EE" w14:textId="77777777" w:rsidR="0060543D" w:rsidRPr="0060543D" w:rsidRDefault="0060543D" w:rsidP="0060543D">
      <w:pPr>
        <w:rPr>
          <w:lang w:val="en-GB"/>
        </w:rPr>
      </w:pPr>
    </w:p>
    <w:sectPr w:rsidR="0060543D" w:rsidRPr="0060543D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D869D" w14:textId="77777777" w:rsidR="00A726A7" w:rsidRDefault="00A726A7" w:rsidP="00001C9B">
      <w:pPr>
        <w:spacing w:after="0" w:line="240" w:lineRule="auto"/>
      </w:pPr>
      <w:r>
        <w:separator/>
      </w:r>
    </w:p>
  </w:endnote>
  <w:endnote w:type="continuationSeparator" w:id="0">
    <w:p w14:paraId="3A04846E" w14:textId="77777777" w:rsidR="00A726A7" w:rsidRDefault="00A726A7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EE"/>
    <w:family w:val="swiss"/>
    <w:pitch w:val="variable"/>
    <w:sig w:usb0="A00006EF" w:usb1="5000205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66045" w14:textId="77777777" w:rsidR="00A726A7" w:rsidRDefault="00A726A7" w:rsidP="00001C9B">
      <w:pPr>
        <w:spacing w:after="0" w:line="240" w:lineRule="auto"/>
      </w:pPr>
      <w:r>
        <w:separator/>
      </w:r>
    </w:p>
  </w:footnote>
  <w:footnote w:type="continuationSeparator" w:id="0">
    <w:p w14:paraId="39384C47" w14:textId="77777777" w:rsidR="00A726A7" w:rsidRDefault="00A726A7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8875CF"/>
    <w:multiLevelType w:val="multilevel"/>
    <w:tmpl w:val="89540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FFFFFFFF">
      <w:start w:val="1"/>
      <w:numFmt w:val="decimal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-90" w:hanging="360"/>
      </w:pPr>
    </w:lvl>
    <w:lvl w:ilvl="2" w:tplc="0409001B">
      <w:start w:val="1"/>
      <w:numFmt w:val="lowerRoman"/>
      <w:lvlText w:val="%3."/>
      <w:lvlJc w:val="right"/>
      <w:pPr>
        <w:ind w:left="630" w:hanging="180"/>
      </w:pPr>
    </w:lvl>
    <w:lvl w:ilvl="3" w:tplc="0409000F">
      <w:start w:val="1"/>
      <w:numFmt w:val="decimal"/>
      <w:lvlText w:val="%4."/>
      <w:lvlJc w:val="left"/>
      <w:pPr>
        <w:ind w:left="1350" w:hanging="360"/>
      </w:pPr>
    </w:lvl>
    <w:lvl w:ilvl="4" w:tplc="04090019">
      <w:start w:val="1"/>
      <w:numFmt w:val="lowerLetter"/>
      <w:lvlText w:val="%5."/>
      <w:lvlJc w:val="left"/>
      <w:pPr>
        <w:ind w:left="2070" w:hanging="360"/>
      </w:pPr>
    </w:lvl>
    <w:lvl w:ilvl="5" w:tplc="0409001B">
      <w:start w:val="1"/>
      <w:numFmt w:val="lowerRoman"/>
      <w:lvlText w:val="%6."/>
      <w:lvlJc w:val="right"/>
      <w:pPr>
        <w:ind w:left="2790" w:hanging="180"/>
      </w:pPr>
    </w:lvl>
    <w:lvl w:ilvl="6" w:tplc="0409000F">
      <w:start w:val="1"/>
      <w:numFmt w:val="decimal"/>
      <w:lvlText w:val="%7."/>
      <w:lvlJc w:val="left"/>
      <w:pPr>
        <w:ind w:left="3510" w:hanging="360"/>
      </w:pPr>
    </w:lvl>
    <w:lvl w:ilvl="7" w:tplc="04090019">
      <w:start w:val="1"/>
      <w:numFmt w:val="lowerLetter"/>
      <w:lvlText w:val="%8."/>
      <w:lvlJc w:val="left"/>
      <w:pPr>
        <w:ind w:left="4230" w:hanging="360"/>
      </w:pPr>
    </w:lvl>
    <w:lvl w:ilvl="8" w:tplc="0409001B">
      <w:start w:val="1"/>
      <w:numFmt w:val="lowerRoman"/>
      <w:lvlText w:val="%9."/>
      <w:lvlJc w:val="right"/>
      <w:pPr>
        <w:ind w:left="4950" w:hanging="180"/>
      </w:pPr>
    </w:lvl>
  </w:abstractNum>
  <w:abstractNum w:abstractNumId="1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722530B"/>
    <w:multiLevelType w:val="hybridMultilevel"/>
    <w:tmpl w:val="D6C02AFA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0C03D72"/>
    <w:multiLevelType w:val="hybridMultilevel"/>
    <w:tmpl w:val="602030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2229722">
    <w:abstractNumId w:val="1"/>
  </w:num>
  <w:num w:numId="2" w16cid:durableId="863520321">
    <w:abstractNumId w:val="5"/>
  </w:num>
  <w:num w:numId="3" w16cid:durableId="521289052">
    <w:abstractNumId w:val="10"/>
  </w:num>
  <w:num w:numId="4" w16cid:durableId="548031326">
    <w:abstractNumId w:val="4"/>
  </w:num>
  <w:num w:numId="5" w16cid:durableId="232473652">
    <w:abstractNumId w:val="15"/>
  </w:num>
  <w:num w:numId="6" w16cid:durableId="604190366">
    <w:abstractNumId w:val="8"/>
  </w:num>
  <w:num w:numId="7" w16cid:durableId="1701976504">
    <w:abstractNumId w:val="9"/>
  </w:num>
  <w:num w:numId="8" w16cid:durableId="1487018351">
    <w:abstractNumId w:val="9"/>
    <w:lvlOverride w:ilvl="0">
      <w:startOverride w:val="1"/>
    </w:lvlOverride>
  </w:num>
  <w:num w:numId="9" w16cid:durableId="839547052">
    <w:abstractNumId w:val="9"/>
    <w:lvlOverride w:ilvl="0">
      <w:startOverride w:val="1"/>
    </w:lvlOverride>
  </w:num>
  <w:num w:numId="10" w16cid:durableId="1296445194">
    <w:abstractNumId w:val="9"/>
    <w:lvlOverride w:ilvl="0">
      <w:startOverride w:val="1"/>
    </w:lvlOverride>
  </w:num>
  <w:num w:numId="11" w16cid:durableId="2035105636">
    <w:abstractNumId w:val="8"/>
    <w:lvlOverride w:ilvl="0">
      <w:startOverride w:val="1"/>
    </w:lvlOverride>
  </w:num>
  <w:num w:numId="12" w16cid:durableId="313412936">
    <w:abstractNumId w:val="9"/>
    <w:lvlOverride w:ilvl="0">
      <w:startOverride w:val="1"/>
    </w:lvlOverride>
  </w:num>
  <w:num w:numId="13" w16cid:durableId="1593926717">
    <w:abstractNumId w:val="8"/>
    <w:lvlOverride w:ilvl="0">
      <w:startOverride w:val="1"/>
    </w:lvlOverride>
  </w:num>
  <w:num w:numId="14" w16cid:durableId="1061368157">
    <w:abstractNumId w:val="9"/>
    <w:lvlOverride w:ilvl="0">
      <w:startOverride w:val="1"/>
    </w:lvlOverride>
  </w:num>
  <w:num w:numId="15" w16cid:durableId="2014919042">
    <w:abstractNumId w:val="17"/>
  </w:num>
  <w:num w:numId="16" w16cid:durableId="336201201">
    <w:abstractNumId w:val="3"/>
  </w:num>
  <w:num w:numId="17" w16cid:durableId="1700617454">
    <w:abstractNumId w:val="13"/>
  </w:num>
  <w:num w:numId="18" w16cid:durableId="1267232840">
    <w:abstractNumId w:val="1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71011340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61698713">
    <w:abstractNumId w:val="7"/>
  </w:num>
  <w:num w:numId="21" w16cid:durableId="658272819">
    <w:abstractNumId w:val="12"/>
  </w:num>
  <w:num w:numId="22" w16cid:durableId="398721113">
    <w:abstractNumId w:val="8"/>
    <w:lvlOverride w:ilvl="0">
      <w:startOverride w:val="1"/>
    </w:lvlOverride>
  </w:num>
  <w:num w:numId="23" w16cid:durableId="1079134016">
    <w:abstractNumId w:val="9"/>
    <w:lvlOverride w:ilvl="0">
      <w:startOverride w:val="1"/>
    </w:lvlOverride>
  </w:num>
  <w:num w:numId="24" w16cid:durableId="1472600043">
    <w:abstractNumId w:val="2"/>
  </w:num>
  <w:num w:numId="25" w16cid:durableId="1705128866">
    <w:abstractNumId w:val="0"/>
  </w:num>
  <w:num w:numId="26" w16cid:durableId="1126195947">
    <w:abstractNumId w:val="0"/>
    <w:lvlOverride w:ilvl="0">
      <w:startOverride w:val="1"/>
    </w:lvlOverride>
  </w:num>
  <w:num w:numId="27" w16cid:durableId="1689021376">
    <w:abstractNumId w:val="14"/>
  </w:num>
  <w:num w:numId="28" w16cid:durableId="1289125095">
    <w:abstractNumId w:val="6"/>
  </w:num>
  <w:num w:numId="29" w16cid:durableId="98231917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299131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E47D51"/>
    <w:rsid w:val="00001C9B"/>
    <w:rsid w:val="000040DC"/>
    <w:rsid w:val="000151EF"/>
    <w:rsid w:val="000239F5"/>
    <w:rsid w:val="00065005"/>
    <w:rsid w:val="0008612A"/>
    <w:rsid w:val="00090E18"/>
    <w:rsid w:val="000A10BC"/>
    <w:rsid w:val="000A1BB6"/>
    <w:rsid w:val="000B0056"/>
    <w:rsid w:val="000C3C7B"/>
    <w:rsid w:val="000D0F93"/>
    <w:rsid w:val="00106416"/>
    <w:rsid w:val="00110481"/>
    <w:rsid w:val="001127C9"/>
    <w:rsid w:val="00115B88"/>
    <w:rsid w:val="00132F6A"/>
    <w:rsid w:val="00133913"/>
    <w:rsid w:val="00140221"/>
    <w:rsid w:val="001642FC"/>
    <w:rsid w:val="0016496B"/>
    <w:rsid w:val="001743E2"/>
    <w:rsid w:val="001745F8"/>
    <w:rsid w:val="001838CF"/>
    <w:rsid w:val="001868EE"/>
    <w:rsid w:val="0019515B"/>
    <w:rsid w:val="001A3BA4"/>
    <w:rsid w:val="001A6D1F"/>
    <w:rsid w:val="001E30F6"/>
    <w:rsid w:val="00217EE5"/>
    <w:rsid w:val="00235F5C"/>
    <w:rsid w:val="00257FA3"/>
    <w:rsid w:val="00277B56"/>
    <w:rsid w:val="00286A54"/>
    <w:rsid w:val="002A19F5"/>
    <w:rsid w:val="002B4922"/>
    <w:rsid w:val="002C22C3"/>
    <w:rsid w:val="002C2D19"/>
    <w:rsid w:val="002D10FA"/>
    <w:rsid w:val="002D4C55"/>
    <w:rsid w:val="002E6DED"/>
    <w:rsid w:val="00300956"/>
    <w:rsid w:val="00317187"/>
    <w:rsid w:val="0032499A"/>
    <w:rsid w:val="003341F7"/>
    <w:rsid w:val="00347FEC"/>
    <w:rsid w:val="00356F45"/>
    <w:rsid w:val="00366B74"/>
    <w:rsid w:val="003A710A"/>
    <w:rsid w:val="003B659E"/>
    <w:rsid w:val="003C275E"/>
    <w:rsid w:val="003C4FDE"/>
    <w:rsid w:val="003E58DF"/>
    <w:rsid w:val="00404C4C"/>
    <w:rsid w:val="0041423F"/>
    <w:rsid w:val="00414F81"/>
    <w:rsid w:val="00436A0F"/>
    <w:rsid w:val="00437150"/>
    <w:rsid w:val="0043750A"/>
    <w:rsid w:val="004732E9"/>
    <w:rsid w:val="004854BB"/>
    <w:rsid w:val="00496606"/>
    <w:rsid w:val="004E5E66"/>
    <w:rsid w:val="004E7ADB"/>
    <w:rsid w:val="00503B4D"/>
    <w:rsid w:val="00504EE9"/>
    <w:rsid w:val="00521576"/>
    <w:rsid w:val="005250E6"/>
    <w:rsid w:val="00542D23"/>
    <w:rsid w:val="0054442C"/>
    <w:rsid w:val="00550285"/>
    <w:rsid w:val="00562492"/>
    <w:rsid w:val="005637B2"/>
    <w:rsid w:val="00572A20"/>
    <w:rsid w:val="005836F8"/>
    <w:rsid w:val="005918FA"/>
    <w:rsid w:val="00592A86"/>
    <w:rsid w:val="005B4801"/>
    <w:rsid w:val="005C23A4"/>
    <w:rsid w:val="005D1CDF"/>
    <w:rsid w:val="005D2BB7"/>
    <w:rsid w:val="005E61A8"/>
    <w:rsid w:val="005F6419"/>
    <w:rsid w:val="0060543D"/>
    <w:rsid w:val="006104DD"/>
    <w:rsid w:val="006130B5"/>
    <w:rsid w:val="00617400"/>
    <w:rsid w:val="00632D29"/>
    <w:rsid w:val="00664950"/>
    <w:rsid w:val="00683220"/>
    <w:rsid w:val="00687FA0"/>
    <w:rsid w:val="006A3C11"/>
    <w:rsid w:val="006B7010"/>
    <w:rsid w:val="006C3095"/>
    <w:rsid w:val="006E1151"/>
    <w:rsid w:val="006E6311"/>
    <w:rsid w:val="007145FF"/>
    <w:rsid w:val="00715B2A"/>
    <w:rsid w:val="007274C2"/>
    <w:rsid w:val="007450F1"/>
    <w:rsid w:val="00751515"/>
    <w:rsid w:val="00751E15"/>
    <w:rsid w:val="0076221B"/>
    <w:rsid w:val="007626B7"/>
    <w:rsid w:val="0078212B"/>
    <w:rsid w:val="00784DF6"/>
    <w:rsid w:val="00785232"/>
    <w:rsid w:val="007B186C"/>
    <w:rsid w:val="007C1696"/>
    <w:rsid w:val="007C3ED0"/>
    <w:rsid w:val="007C5971"/>
    <w:rsid w:val="007F54B9"/>
    <w:rsid w:val="00806A76"/>
    <w:rsid w:val="00811C9D"/>
    <w:rsid w:val="00816C80"/>
    <w:rsid w:val="0084032B"/>
    <w:rsid w:val="00841BCD"/>
    <w:rsid w:val="00851A8E"/>
    <w:rsid w:val="0085365B"/>
    <w:rsid w:val="00857830"/>
    <w:rsid w:val="00866B7D"/>
    <w:rsid w:val="008826C1"/>
    <w:rsid w:val="00883DFD"/>
    <w:rsid w:val="008A1BF7"/>
    <w:rsid w:val="008A5B0E"/>
    <w:rsid w:val="008B0961"/>
    <w:rsid w:val="0090091A"/>
    <w:rsid w:val="009042BD"/>
    <w:rsid w:val="00923E6F"/>
    <w:rsid w:val="00936159"/>
    <w:rsid w:val="009469CF"/>
    <w:rsid w:val="00954414"/>
    <w:rsid w:val="00977E1D"/>
    <w:rsid w:val="00983888"/>
    <w:rsid w:val="009B0573"/>
    <w:rsid w:val="009B7B4B"/>
    <w:rsid w:val="009B7C21"/>
    <w:rsid w:val="00A04992"/>
    <w:rsid w:val="00A147AA"/>
    <w:rsid w:val="00A21D71"/>
    <w:rsid w:val="00A22B78"/>
    <w:rsid w:val="00A25AE5"/>
    <w:rsid w:val="00A37002"/>
    <w:rsid w:val="00A4355E"/>
    <w:rsid w:val="00A726A7"/>
    <w:rsid w:val="00A92BCD"/>
    <w:rsid w:val="00AA1B0E"/>
    <w:rsid w:val="00AA47B6"/>
    <w:rsid w:val="00AC163B"/>
    <w:rsid w:val="00AC5CA7"/>
    <w:rsid w:val="00AC6058"/>
    <w:rsid w:val="00AE2BA5"/>
    <w:rsid w:val="00AE56B1"/>
    <w:rsid w:val="00AE6D09"/>
    <w:rsid w:val="00AF7A7C"/>
    <w:rsid w:val="00B408B6"/>
    <w:rsid w:val="00B542DA"/>
    <w:rsid w:val="00B73862"/>
    <w:rsid w:val="00B73F43"/>
    <w:rsid w:val="00B8087E"/>
    <w:rsid w:val="00BA6B66"/>
    <w:rsid w:val="00BA6E48"/>
    <w:rsid w:val="00BB3A0E"/>
    <w:rsid w:val="00BE0AF6"/>
    <w:rsid w:val="00BE1F03"/>
    <w:rsid w:val="00BE58A7"/>
    <w:rsid w:val="00BF2218"/>
    <w:rsid w:val="00C0426B"/>
    <w:rsid w:val="00C045DF"/>
    <w:rsid w:val="00C26D43"/>
    <w:rsid w:val="00C46548"/>
    <w:rsid w:val="00C574D5"/>
    <w:rsid w:val="00C73F32"/>
    <w:rsid w:val="00C87462"/>
    <w:rsid w:val="00CA180C"/>
    <w:rsid w:val="00CB22B2"/>
    <w:rsid w:val="00CC3EE2"/>
    <w:rsid w:val="00CD7492"/>
    <w:rsid w:val="00CE3A6B"/>
    <w:rsid w:val="00D00211"/>
    <w:rsid w:val="00D06309"/>
    <w:rsid w:val="00D351EA"/>
    <w:rsid w:val="00D40288"/>
    <w:rsid w:val="00D43403"/>
    <w:rsid w:val="00D46034"/>
    <w:rsid w:val="00D5270B"/>
    <w:rsid w:val="00D62E71"/>
    <w:rsid w:val="00D6430D"/>
    <w:rsid w:val="00D66188"/>
    <w:rsid w:val="00D731F6"/>
    <w:rsid w:val="00D740CA"/>
    <w:rsid w:val="00D85728"/>
    <w:rsid w:val="00D95481"/>
    <w:rsid w:val="00DC7A13"/>
    <w:rsid w:val="00DF2997"/>
    <w:rsid w:val="00E10BC4"/>
    <w:rsid w:val="00E1415D"/>
    <w:rsid w:val="00E323E9"/>
    <w:rsid w:val="00E34018"/>
    <w:rsid w:val="00E437D2"/>
    <w:rsid w:val="00E47D51"/>
    <w:rsid w:val="00E55751"/>
    <w:rsid w:val="00EA2311"/>
    <w:rsid w:val="00EC7BC3"/>
    <w:rsid w:val="00ED7600"/>
    <w:rsid w:val="00EF6073"/>
    <w:rsid w:val="00EF698B"/>
    <w:rsid w:val="00F1362C"/>
    <w:rsid w:val="00F414F1"/>
    <w:rsid w:val="00F508B8"/>
    <w:rsid w:val="00F72CB1"/>
    <w:rsid w:val="00F77BCA"/>
    <w:rsid w:val="00F81FFA"/>
    <w:rsid w:val="00F8215E"/>
    <w:rsid w:val="00F824F5"/>
    <w:rsid w:val="00F90FAB"/>
    <w:rsid w:val="00F9374D"/>
    <w:rsid w:val="00FC29B9"/>
    <w:rsid w:val="00FC6FD3"/>
    <w:rsid w:val="00FE305C"/>
    <w:rsid w:val="00FF0301"/>
    <w:rsid w:val="1E932B3B"/>
    <w:rsid w:val="7E2E1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626BEB9"/>
  <w15:chartTrackingRefBased/>
  <w15:docId w15:val="{31D56B85-2301-47F6-94B9-3B74D3389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43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nhideWhenUsed/>
    <w:qFormat/>
    <w:rsid w:val="00983888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character" w:customStyle="1" w:styleId="maintextChar">
    <w:name w:val="main text Char"/>
    <w:link w:val="maintext"/>
    <w:qFormat/>
    <w:locked/>
    <w:rsid w:val="00F81FFA"/>
    <w:rPr>
      <w:rFonts w:eastAsia="Malgun Gothic" w:cs="Batang"/>
      <w:lang w:eastAsia="ko-KR"/>
    </w:rPr>
  </w:style>
  <w:style w:type="paragraph" w:customStyle="1" w:styleId="maintext">
    <w:name w:val="main text"/>
    <w:basedOn w:val="Normal"/>
    <w:link w:val="maintextChar"/>
    <w:qFormat/>
    <w:rsid w:val="00F81FFA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923E6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paragraph" w:customStyle="1" w:styleId="TH">
    <w:name w:val="TH"/>
    <w:basedOn w:val="Normal"/>
    <w:link w:val="THChar"/>
    <w:qFormat/>
    <w:rsid w:val="00923E6F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en-GB"/>
    </w:rPr>
  </w:style>
  <w:style w:type="character" w:customStyle="1" w:styleId="THChar">
    <w:name w:val="TH Char"/>
    <w:link w:val="TH"/>
    <w:qFormat/>
    <w:rsid w:val="00923E6F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7274C2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B2Char">
    <w:name w:val="B2 Char"/>
    <w:basedOn w:val="DefaultParagraphFont"/>
    <w:link w:val="B2"/>
    <w:qFormat/>
    <w:locked/>
    <w:rsid w:val="00286A54"/>
  </w:style>
  <w:style w:type="paragraph" w:customStyle="1" w:styleId="B2">
    <w:name w:val="B2"/>
    <w:basedOn w:val="List2"/>
    <w:link w:val="B2Char"/>
    <w:qFormat/>
    <w:rsid w:val="00286A54"/>
    <w:pPr>
      <w:spacing w:line="256" w:lineRule="auto"/>
      <w:ind w:left="851" w:hanging="284"/>
      <w:contextualSpacing w:val="0"/>
    </w:pPr>
    <w:rPr>
      <w:rFonts w:asciiTheme="minorHAnsi" w:hAnsiTheme="minorHAnsi"/>
      <w:sz w:val="22"/>
    </w:rPr>
  </w:style>
  <w:style w:type="paragraph" w:styleId="List2">
    <w:name w:val="List 2"/>
    <w:basedOn w:val="Normal"/>
    <w:uiPriority w:val="99"/>
    <w:semiHidden/>
    <w:unhideWhenUsed/>
    <w:rsid w:val="00286A54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ORK\3GPP%20RAN4\RAN4%23106bis%20e-meeting\Contribution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5AIRPNAIUNRU-1328258698-23570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https://nokia.sharepoint.com/sites/c5g/5gradio/_layouts/15/DocIdRedir.aspx?ID=5AIRPNAIUNRU-1328258698-23570</Url>
      <Description>5AIRPNAIUNRU-1328258698-23570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FE82A937-9D79-4D6A-A218-F4FE2C8C6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3GPP_Paper_Template_RAN4_#106bis-e_Dimitri.dotx</Template>
  <TotalTime>42</TotalTime>
  <Pages>4</Pages>
  <Words>1034</Words>
  <Characters>5900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- Bartlomiej Golebiowski</dc:creator>
  <cp:keywords>3GPP;RAN4</cp:keywords>
  <dc:description/>
  <cp:lastModifiedBy>Nokia - Bartlomiej Golebiowski</cp:lastModifiedBy>
  <cp:revision>7</cp:revision>
  <dcterms:created xsi:type="dcterms:W3CDTF">2023-05-15T08:29:00Z</dcterms:created>
  <dcterms:modified xsi:type="dcterms:W3CDTF">2023-05-15T15:11:00Z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2297e05e-d0ca-4b46-b94c-edabb824f667</vt:lpwstr>
  </property>
  <property fmtid="{D5CDD505-2E9C-101B-9397-08002B2CF9AE}" pid="11" name="MediaServiceImageTags">
    <vt:lpwstr/>
  </property>
</Properties>
</file>